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3" w:lineRule="exact"/>
        <w:ind w:left="118"/>
        <w:jc w:val="both"/>
      </w:pPr>
      <w:r>
        <w:rPr/>
        <w:t>LEY</w:t>
      </w:r>
      <w:r>
        <w:rPr>
          <w:spacing w:val="-6"/>
        </w:rPr>
        <w:t> </w:t>
      </w:r>
      <w:r>
        <w:rPr/>
        <w:t>DE</w:t>
      </w:r>
      <w:r>
        <w:rPr>
          <w:spacing w:val="-3"/>
        </w:rPr>
        <w:t> </w:t>
      </w:r>
      <w:r>
        <w:rPr/>
        <w:t>PREVENCIÓN</w:t>
      </w:r>
      <w:r>
        <w:rPr>
          <w:spacing w:val="-5"/>
        </w:rPr>
        <w:t> </w:t>
      </w:r>
      <w:r>
        <w:rPr/>
        <w:t>DEL</w:t>
      </w:r>
      <w:r>
        <w:rPr>
          <w:spacing w:val="-5"/>
        </w:rPr>
        <w:t> </w:t>
      </w:r>
      <w:r>
        <w:rPr/>
        <w:t>DELITO</w:t>
      </w:r>
      <w:r>
        <w:rPr>
          <w:spacing w:val="-5"/>
        </w:rPr>
        <w:t> </w:t>
      </w:r>
      <w:r>
        <w:rPr/>
        <w:t>PARA</w:t>
      </w:r>
      <w:r>
        <w:rPr>
          <w:spacing w:val="-5"/>
        </w:rPr>
        <w:t> </w:t>
      </w:r>
      <w:r>
        <w:rPr/>
        <w:t>EL</w:t>
      </w:r>
      <w:r>
        <w:rPr>
          <w:spacing w:val="-5"/>
        </w:rPr>
        <w:t> </w:t>
      </w:r>
      <w:r>
        <w:rPr/>
        <w:t>ESTADO</w:t>
      </w:r>
      <w:r>
        <w:rPr>
          <w:spacing w:val="-4"/>
        </w:rPr>
        <w:t> </w:t>
      </w:r>
      <w:r>
        <w:rPr/>
        <w:t>DE</w:t>
      </w:r>
      <w:r>
        <w:rPr>
          <w:spacing w:val="-5"/>
        </w:rPr>
        <w:t> </w:t>
      </w:r>
      <w:r>
        <w:rPr>
          <w:spacing w:val="-2"/>
        </w:rPr>
        <w:t>HIDALGO.</w:t>
      </w:r>
    </w:p>
    <w:p>
      <w:pPr>
        <w:spacing w:before="228"/>
        <w:ind w:left="118" w:right="149" w:firstLine="0"/>
        <w:jc w:val="left"/>
        <w:rPr>
          <w:rFonts w:ascii="Arial"/>
          <w:i/>
          <w:sz w:val="20"/>
        </w:rPr>
      </w:pPr>
      <w:r>
        <w:rPr>
          <w:rFonts w:ascii="Arial"/>
          <w:i/>
          <w:sz w:val="20"/>
        </w:rPr>
        <w:t>ULTIMA</w:t>
      </w:r>
      <w:r>
        <w:rPr>
          <w:rFonts w:ascii="Arial"/>
          <w:i/>
          <w:spacing w:val="-5"/>
          <w:sz w:val="20"/>
        </w:rPr>
        <w:t> </w:t>
      </w:r>
      <w:r>
        <w:rPr>
          <w:rFonts w:ascii="Arial"/>
          <w:i/>
          <w:sz w:val="20"/>
        </w:rPr>
        <w:t>REFORMA</w:t>
      </w:r>
      <w:r>
        <w:rPr>
          <w:rFonts w:ascii="Arial"/>
          <w:i/>
          <w:spacing w:val="-3"/>
          <w:sz w:val="20"/>
        </w:rPr>
        <w:t> </w:t>
      </w:r>
      <w:r>
        <w:rPr>
          <w:rFonts w:ascii="Arial"/>
          <w:i/>
          <w:sz w:val="20"/>
        </w:rPr>
        <w:t>PUBLICADA</w:t>
      </w:r>
      <w:r>
        <w:rPr>
          <w:rFonts w:ascii="Arial"/>
          <w:i/>
          <w:spacing w:val="-5"/>
          <w:sz w:val="20"/>
        </w:rPr>
        <w:t> </w:t>
      </w:r>
      <w:r>
        <w:rPr>
          <w:rFonts w:ascii="Arial"/>
          <w:i/>
          <w:sz w:val="20"/>
        </w:rPr>
        <w:t>EN</w:t>
      </w:r>
      <w:r>
        <w:rPr>
          <w:rFonts w:ascii="Arial"/>
          <w:i/>
          <w:spacing w:val="-2"/>
          <w:sz w:val="20"/>
        </w:rPr>
        <w:t> </w:t>
      </w:r>
      <w:r>
        <w:rPr>
          <w:rFonts w:ascii="Arial"/>
          <w:i/>
          <w:sz w:val="20"/>
        </w:rPr>
        <w:t>EL</w:t>
      </w:r>
      <w:r>
        <w:rPr>
          <w:rFonts w:ascii="Arial"/>
          <w:i/>
          <w:spacing w:val="-3"/>
          <w:sz w:val="20"/>
        </w:rPr>
        <w:t> </w:t>
      </w:r>
      <w:r>
        <w:rPr>
          <w:rFonts w:ascii="Arial"/>
          <w:i/>
          <w:sz w:val="20"/>
        </w:rPr>
        <w:t>ALCANCE</w:t>
      </w:r>
      <w:r>
        <w:rPr>
          <w:rFonts w:ascii="Arial"/>
          <w:i/>
          <w:spacing w:val="-3"/>
          <w:sz w:val="20"/>
        </w:rPr>
        <w:t> </w:t>
      </w:r>
      <w:r>
        <w:rPr>
          <w:rFonts w:ascii="Arial"/>
          <w:i/>
          <w:sz w:val="20"/>
        </w:rPr>
        <w:t>DOS</w:t>
      </w:r>
      <w:r>
        <w:rPr>
          <w:rFonts w:ascii="Arial"/>
          <w:i/>
          <w:spacing w:val="-5"/>
          <w:sz w:val="20"/>
        </w:rPr>
        <w:t> </w:t>
      </w:r>
      <w:r>
        <w:rPr>
          <w:rFonts w:ascii="Arial"/>
          <w:i/>
          <w:sz w:val="20"/>
        </w:rPr>
        <w:t>DEL</w:t>
      </w:r>
      <w:r>
        <w:rPr>
          <w:rFonts w:ascii="Arial"/>
          <w:i/>
          <w:spacing w:val="-4"/>
          <w:sz w:val="20"/>
        </w:rPr>
        <w:t> </w:t>
      </w:r>
      <w:r>
        <w:rPr>
          <w:rFonts w:ascii="Arial"/>
          <w:i/>
          <w:sz w:val="20"/>
        </w:rPr>
        <w:t>PERIODICO</w:t>
      </w:r>
      <w:r>
        <w:rPr>
          <w:rFonts w:ascii="Arial"/>
          <w:i/>
          <w:spacing w:val="-4"/>
          <w:sz w:val="20"/>
        </w:rPr>
        <w:t> </w:t>
      </w:r>
      <w:r>
        <w:rPr>
          <w:rFonts w:ascii="Arial"/>
          <w:i/>
          <w:sz w:val="20"/>
        </w:rPr>
        <w:t>OFICIAL:</w:t>
      </w:r>
      <w:r>
        <w:rPr>
          <w:rFonts w:ascii="Arial"/>
          <w:i/>
          <w:spacing w:val="-3"/>
          <w:sz w:val="20"/>
        </w:rPr>
        <w:t> </w:t>
      </w:r>
      <w:r>
        <w:rPr>
          <w:rFonts w:ascii="Arial"/>
          <w:i/>
          <w:sz w:val="20"/>
        </w:rPr>
        <w:t>13</w:t>
      </w:r>
      <w:r>
        <w:rPr>
          <w:rFonts w:ascii="Arial"/>
          <w:i/>
          <w:spacing w:val="-5"/>
          <w:sz w:val="20"/>
        </w:rPr>
        <w:t> </w:t>
      </w:r>
      <w:r>
        <w:rPr>
          <w:rFonts w:ascii="Arial"/>
          <w:i/>
          <w:sz w:val="20"/>
        </w:rPr>
        <w:t>DE SEPTIEMBRE DE 2021.</w:t>
      </w:r>
    </w:p>
    <w:p>
      <w:pPr>
        <w:pStyle w:val="BodyText"/>
        <w:spacing w:before="1"/>
        <w:rPr>
          <w:rFonts w:ascii="Arial"/>
          <w:i/>
        </w:rPr>
      </w:pPr>
    </w:p>
    <w:p>
      <w:pPr>
        <w:spacing w:before="0"/>
        <w:ind w:left="118" w:right="0" w:firstLine="0"/>
        <w:jc w:val="left"/>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4"/>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lunes</w:t>
      </w:r>
      <w:r>
        <w:rPr>
          <w:rFonts w:ascii="Arial" w:hAnsi="Arial"/>
          <w:i/>
          <w:spacing w:val="-5"/>
          <w:sz w:val="20"/>
        </w:rPr>
        <w:t> </w:t>
      </w:r>
      <w:r>
        <w:rPr>
          <w:rFonts w:ascii="Arial" w:hAnsi="Arial"/>
          <w:i/>
          <w:sz w:val="20"/>
        </w:rPr>
        <w:t>7</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2"/>
          <w:sz w:val="20"/>
        </w:rPr>
        <w:t> </w:t>
      </w:r>
      <w:r>
        <w:rPr>
          <w:rFonts w:ascii="Arial" w:hAnsi="Arial"/>
          <w:i/>
          <w:sz w:val="20"/>
        </w:rPr>
        <w:t>de</w:t>
      </w:r>
      <w:r>
        <w:rPr>
          <w:rFonts w:ascii="Arial" w:hAnsi="Arial"/>
          <w:i/>
          <w:spacing w:val="-5"/>
          <w:sz w:val="20"/>
        </w:rPr>
        <w:t> </w:t>
      </w:r>
      <w:r>
        <w:rPr>
          <w:rFonts w:ascii="Arial" w:hAnsi="Arial"/>
          <w:i/>
          <w:sz w:val="20"/>
        </w:rPr>
        <w:t>2009.</w:t>
      </w:r>
      <w:r>
        <w:rPr>
          <w:rFonts w:ascii="Arial" w:hAnsi="Arial"/>
          <w:i/>
          <w:spacing w:val="-5"/>
          <w:sz w:val="20"/>
        </w:rPr>
        <w:t> </w:t>
      </w:r>
      <w:r>
        <w:rPr>
          <w:rFonts w:ascii="Arial" w:hAnsi="Arial"/>
          <w:i/>
          <w:sz w:val="20"/>
        </w:rPr>
        <w:t>(F.</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E.</w:t>
      </w:r>
      <w:r>
        <w:rPr>
          <w:rFonts w:ascii="Arial" w:hAnsi="Arial"/>
          <w:i/>
          <w:spacing w:val="-6"/>
          <w:sz w:val="20"/>
        </w:rPr>
        <w:t> </w:t>
      </w:r>
      <w:r>
        <w:rPr>
          <w:rFonts w:ascii="Arial" w:hAnsi="Arial"/>
          <w:i/>
          <w:sz w:val="20"/>
        </w:rPr>
        <w:t>14</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Febrero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2011).</w:t>
      </w:r>
    </w:p>
    <w:p>
      <w:pPr>
        <w:pStyle w:val="BodyText"/>
        <w:spacing w:before="229"/>
        <w:rPr>
          <w:rFonts w:ascii="Arial"/>
          <w:i/>
        </w:rPr>
      </w:pPr>
    </w:p>
    <w:p>
      <w:pPr>
        <w:spacing w:before="0"/>
        <w:ind w:left="2636" w:right="2636"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18" w:right="0"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HÁ TENIDO A BIEN DIRIGIRME EL SIGUIENTE:</w:t>
      </w:r>
    </w:p>
    <w:p>
      <w:pPr>
        <w:pStyle w:val="BodyText"/>
        <w:rPr>
          <w:rFonts w:ascii="Arial"/>
          <w:b/>
        </w:rPr>
      </w:pPr>
    </w:p>
    <w:p>
      <w:pPr>
        <w:pStyle w:val="BodyText"/>
        <w:rPr>
          <w:rFonts w:ascii="Arial"/>
          <w:b/>
        </w:rPr>
      </w:pPr>
    </w:p>
    <w:p>
      <w:pPr>
        <w:spacing w:before="0"/>
        <w:ind w:left="2636" w:right="2636"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219</w:t>
      </w:r>
    </w:p>
    <w:p>
      <w:pPr>
        <w:pStyle w:val="BodyText"/>
        <w:spacing w:before="1"/>
        <w:rPr>
          <w:rFonts w:ascii="Arial"/>
          <w:b/>
        </w:rPr>
      </w:pPr>
    </w:p>
    <w:p>
      <w:pPr>
        <w:spacing w:before="0"/>
        <w:ind w:left="2661" w:right="2662" w:firstLine="1"/>
        <w:jc w:val="center"/>
        <w:rPr>
          <w:rFonts w:ascii="Arial" w:hAnsi="Arial"/>
          <w:b/>
          <w:sz w:val="20"/>
        </w:rPr>
      </w:pPr>
      <w:r>
        <w:rPr>
          <w:rFonts w:ascii="Arial" w:hAnsi="Arial"/>
          <w:b/>
          <w:sz w:val="20"/>
        </w:rPr>
        <w:t>QUE CONTIENE LA LEY DE PREVENCIÓN DEL</w:t>
      </w:r>
      <w:r>
        <w:rPr>
          <w:rFonts w:ascii="Arial" w:hAnsi="Arial"/>
          <w:b/>
          <w:spacing w:val="-7"/>
          <w:sz w:val="20"/>
        </w:rPr>
        <w:t> </w:t>
      </w:r>
      <w:r>
        <w:rPr>
          <w:rFonts w:ascii="Arial" w:hAnsi="Arial"/>
          <w:b/>
          <w:sz w:val="20"/>
        </w:rPr>
        <w:t>DELITO</w:t>
      </w:r>
      <w:r>
        <w:rPr>
          <w:rFonts w:ascii="Arial" w:hAnsi="Arial"/>
          <w:b/>
          <w:spacing w:val="-6"/>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7"/>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HIDALGO</w:t>
      </w:r>
    </w:p>
    <w:p>
      <w:pPr>
        <w:pStyle w:val="BodyText"/>
        <w:spacing w:before="229"/>
        <w:ind w:left="118" w:right="169"/>
        <w:jc w:val="both"/>
      </w:pPr>
      <w:r>
        <w:rPr/>
        <w:t>El Congreso del Estado Libre y Soberano de Hidalgo, en uso de las facultades que le confiere el Artículo 56 fracciones I y II de la Constitución Política del Estado Libre y</w:t>
      </w:r>
      <w:r>
        <w:rPr>
          <w:spacing w:val="40"/>
        </w:rPr>
        <w:t> </w:t>
      </w:r>
      <w:r>
        <w:rPr/>
        <w:t>Soberano de Hidalgo,</w:t>
      </w:r>
    </w:p>
    <w:p>
      <w:pPr>
        <w:spacing w:before="1"/>
        <w:ind w:left="118" w:right="0" w:firstLine="0"/>
        <w:jc w:val="left"/>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5"/>
          <w:sz w:val="20"/>
        </w:rPr>
        <w:t>A:</w:t>
      </w:r>
    </w:p>
    <w:p>
      <w:pPr>
        <w:spacing w:before="228"/>
        <w:ind w:left="2636" w:right="2636" w:firstLine="0"/>
        <w:jc w:val="center"/>
        <w:rPr>
          <w:rFonts w:ascii="Arial"/>
          <w:b/>
          <w:sz w:val="20"/>
        </w:rPr>
      </w:pPr>
      <w:r>
        <w:rPr>
          <w:rFonts w:ascii="Arial"/>
          <w:b/>
          <w:spacing w:val="-2"/>
          <w:sz w:val="20"/>
        </w:rPr>
        <w:t>ANTECEDENTES</w:t>
      </w:r>
    </w:p>
    <w:p>
      <w:pPr>
        <w:spacing w:before="1"/>
        <w:ind w:left="118" w:right="119" w:firstLine="0"/>
        <w:jc w:val="both"/>
        <w:rPr>
          <w:sz w:val="20"/>
        </w:rPr>
      </w:pPr>
      <w:r>
        <w:rPr>
          <w:rFonts w:ascii="Arial" w:hAnsi="Arial"/>
          <w:b/>
          <w:sz w:val="20"/>
        </w:rPr>
        <w:t>PRIMERO.- </w:t>
      </w:r>
      <w:r>
        <w:rPr>
          <w:sz w:val="20"/>
        </w:rPr>
        <w:t>En sesión ordinaria de fecha 22 de Octubre de 2009, por instrucciones del Presidente de la Directiva, nos fue turnada la Iniciativa de Decreto que contiene </w:t>
      </w:r>
      <w:r>
        <w:rPr>
          <w:rFonts w:ascii="Arial" w:hAnsi="Arial"/>
          <w:b/>
          <w:sz w:val="20"/>
        </w:rPr>
        <w:t>LA LEY DE PREVENCIÓN DEL DELITO PARA EL</w:t>
      </w:r>
      <w:r>
        <w:rPr>
          <w:rFonts w:ascii="Arial" w:hAnsi="Arial"/>
          <w:b/>
          <w:spacing w:val="40"/>
          <w:sz w:val="20"/>
        </w:rPr>
        <w:t> </w:t>
      </w:r>
      <w:r>
        <w:rPr>
          <w:rFonts w:ascii="Arial" w:hAnsi="Arial"/>
          <w:b/>
          <w:sz w:val="20"/>
        </w:rPr>
        <w:t>ESTADO DE HIDALGO</w:t>
      </w:r>
      <w:r>
        <w:rPr>
          <w:sz w:val="20"/>
        </w:rPr>
        <w:t>, enviada por el Titular del Poder Ejecutivo de la Entidad</w:t>
      </w:r>
    </w:p>
    <w:p>
      <w:pPr>
        <w:pStyle w:val="BodyText"/>
        <w:spacing w:before="1"/>
      </w:pPr>
    </w:p>
    <w:p>
      <w:pPr>
        <w:pStyle w:val="BodyText"/>
        <w:ind w:left="118" w:right="126"/>
        <w:jc w:val="both"/>
      </w:pPr>
      <w:r>
        <w:rPr>
          <w:rFonts w:ascii="Arial" w:hAnsi="Arial"/>
          <w:b/>
        </w:rPr>
        <w:t>SEGUNDO.- </w:t>
      </w:r>
      <w:r>
        <w:rPr/>
        <w:t>El asunto de referencia fue turnado a la Comisión que suscribe, registrándose en el libro de Gobierno respectivo, con el número 37/2009.</w:t>
      </w:r>
    </w:p>
    <w:p>
      <w:pPr>
        <w:pStyle w:val="BodyText"/>
      </w:pPr>
    </w:p>
    <w:p>
      <w:pPr>
        <w:pStyle w:val="BodyText"/>
      </w:pPr>
    </w:p>
    <w:p>
      <w:pPr>
        <w:spacing w:before="0"/>
        <w:ind w:left="2636" w:right="2638"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w:t>
      </w:r>
      <w:r>
        <w:rPr>
          <w:rFonts w:ascii="Arial"/>
          <w:b/>
          <w:spacing w:val="-2"/>
          <w:sz w:val="20"/>
        </w:rPr>
        <w:t> </w:t>
      </w:r>
      <w:r>
        <w:rPr>
          <w:rFonts w:ascii="Arial"/>
          <w:b/>
          <w:spacing w:val="-10"/>
          <w:sz w:val="20"/>
        </w:rPr>
        <w:t>O</w:t>
      </w:r>
    </w:p>
    <w:p>
      <w:pPr>
        <w:pStyle w:val="BodyText"/>
        <w:spacing w:before="228"/>
        <w:ind w:left="118" w:right="115"/>
        <w:jc w:val="both"/>
      </w:pPr>
      <w:r>
        <w:rPr>
          <w:rFonts w:ascii="Arial" w:hAnsi="Arial"/>
          <w:b/>
        </w:rPr>
        <w:t>PRIMERO.- </w:t>
      </w:r>
      <w:r>
        <w:rPr/>
        <w:t>Que la Comisión que suscribe, es competente para conocer del presente asunto, con fundamento en lo dispuesto en los Artículos 2, 75 y 77 fracción VII, de la Ley Orgánica del Poder </w:t>
      </w:r>
      <w:r>
        <w:rPr>
          <w:spacing w:val="-2"/>
        </w:rPr>
        <w:t>Legislativo.</w:t>
      </w:r>
    </w:p>
    <w:p>
      <w:pPr>
        <w:pStyle w:val="BodyText"/>
        <w:spacing w:before="2"/>
      </w:pPr>
    </w:p>
    <w:p>
      <w:pPr>
        <w:pStyle w:val="BodyText"/>
        <w:ind w:left="118" w:right="122"/>
        <w:jc w:val="both"/>
      </w:pPr>
      <w:r>
        <w:rPr>
          <w:rFonts w:ascii="Arial" w:hAnsi="Arial"/>
          <w:b/>
        </w:rPr>
        <w:t>SEGUNDO.- </w:t>
      </w:r>
      <w:r>
        <w:rPr/>
        <w:t>Que el Artículo 47 fracción I de la Constitución política del Estado de Hidalgo y 124 fracción</w:t>
      </w:r>
      <w:r>
        <w:rPr>
          <w:spacing w:val="40"/>
        </w:rPr>
        <w:t> </w:t>
      </w:r>
      <w:r>
        <w:rPr/>
        <w:t>I de la Ley Orgánica del Poder Legislativo, faculta al</w:t>
      </w:r>
      <w:r>
        <w:rPr>
          <w:spacing w:val="40"/>
        </w:rPr>
        <w:t> </w:t>
      </w:r>
      <w:r>
        <w:rPr/>
        <w:t>Ciudadano Gobernador del Estado, para iniciar Leyes y Decretos, por lo que la Iniciativa que se estudia, reúne los requisitos sobre el particular.</w:t>
      </w:r>
    </w:p>
    <w:p>
      <w:pPr>
        <w:pStyle w:val="BodyText"/>
        <w:spacing w:before="229"/>
        <w:ind w:left="118" w:right="118"/>
        <w:jc w:val="both"/>
      </w:pPr>
      <w:r>
        <w:rPr>
          <w:rFonts w:ascii="Arial" w:hAnsi="Arial"/>
          <w:b/>
        </w:rPr>
        <w:t>TERCERO.- </w:t>
      </w:r>
      <w:r>
        <w:rPr/>
        <w:t>Que de conformidad con lo dispuesto por el Artículo 56 fracciones I, II y III, de la</w:t>
      </w:r>
      <w:r>
        <w:rPr>
          <w:spacing w:val="40"/>
        </w:rPr>
        <w:t> </w:t>
      </w:r>
      <w:r>
        <w:rPr/>
        <w:t>Constitución Local, corresponde al Congreso del Estado, Legislar en todo lo concerniente al régimen interior del Estado y expedir las leyes que sean necesarias, para hacer efectivas las facultades otorgadas por dicho ordenamiento a los Poderes de la Entidad</w:t>
      </w:r>
    </w:p>
    <w:p>
      <w:pPr>
        <w:pStyle w:val="BodyText"/>
        <w:spacing w:before="1"/>
      </w:pPr>
    </w:p>
    <w:p>
      <w:pPr>
        <w:pStyle w:val="BodyText"/>
        <w:ind w:left="118" w:right="124"/>
        <w:jc w:val="both"/>
      </w:pPr>
      <w:r>
        <w:rPr>
          <w:rFonts w:ascii="Arial" w:hAnsi="Arial"/>
          <w:b/>
        </w:rPr>
        <w:t>CUARTO.- </w:t>
      </w:r>
      <w:r>
        <w:rPr/>
        <w:t>Que México fue electo como miembro de pleno derecho de la Comisión de Prevención del Delito y Justicia Penal de la ONU, función que ejercerá a partir del 1º de enero de 2010, por un periodo</w:t>
      </w:r>
      <w:r>
        <w:rPr>
          <w:spacing w:val="40"/>
        </w:rPr>
        <w:t> </w:t>
      </w:r>
      <w:r>
        <w:rPr/>
        <w:t>de tres años.</w:t>
      </w:r>
    </w:p>
    <w:p>
      <w:pPr>
        <w:pStyle w:val="BodyText"/>
        <w:spacing w:before="1"/>
      </w:pPr>
    </w:p>
    <w:p>
      <w:pPr>
        <w:pStyle w:val="BodyText"/>
        <w:ind w:left="118" w:right="116"/>
        <w:jc w:val="both"/>
      </w:pPr>
      <w:r>
        <w:rPr>
          <w:rFonts w:ascii="Arial" w:hAnsi="Arial"/>
          <w:b/>
        </w:rPr>
        <w:t>QUINTO.- </w:t>
      </w:r>
      <w:r>
        <w:rPr/>
        <w:t>Que en el Décimo Congreso de las Naciones Unidas sobre Prevención del Delito y</w:t>
      </w:r>
      <w:r>
        <w:rPr>
          <w:spacing w:val="80"/>
        </w:rPr>
        <w:t> </w:t>
      </w:r>
      <w:r>
        <w:rPr/>
        <w:t>Tratamiento</w:t>
      </w:r>
      <w:r>
        <w:rPr>
          <w:spacing w:val="-1"/>
        </w:rPr>
        <w:t> </w:t>
      </w:r>
      <w:r>
        <w:rPr/>
        <w:t>del</w:t>
      </w:r>
      <w:r>
        <w:rPr>
          <w:spacing w:val="-2"/>
        </w:rPr>
        <w:t> </w:t>
      </w:r>
      <w:r>
        <w:rPr/>
        <w:t>Delincuente,</w:t>
      </w:r>
      <w:r>
        <w:rPr>
          <w:spacing w:val="-3"/>
        </w:rPr>
        <w:t> </w:t>
      </w:r>
      <w:r>
        <w:rPr/>
        <w:t>celebrado</w:t>
      </w:r>
      <w:r>
        <w:rPr>
          <w:spacing w:val="-1"/>
        </w:rPr>
        <w:t> </w:t>
      </w:r>
      <w:r>
        <w:rPr/>
        <w:t>en</w:t>
      </w:r>
      <w:r>
        <w:rPr>
          <w:spacing w:val="-1"/>
        </w:rPr>
        <w:t> </w:t>
      </w:r>
      <w:r>
        <w:rPr/>
        <w:t>Viena</w:t>
      </w:r>
      <w:r>
        <w:rPr>
          <w:spacing w:val="-1"/>
        </w:rPr>
        <w:t> </w:t>
      </w:r>
      <w:r>
        <w:rPr/>
        <w:t>del</w:t>
      </w:r>
      <w:r>
        <w:rPr>
          <w:spacing w:val="-2"/>
        </w:rPr>
        <w:t> </w:t>
      </w:r>
      <w:r>
        <w:rPr/>
        <w:t>10</w:t>
      </w:r>
      <w:r>
        <w:rPr>
          <w:spacing w:val="-3"/>
        </w:rPr>
        <w:t> </w:t>
      </w:r>
      <w:r>
        <w:rPr/>
        <w:t>al</w:t>
      </w:r>
      <w:r>
        <w:rPr>
          <w:spacing w:val="-2"/>
        </w:rPr>
        <w:t> </w:t>
      </w:r>
      <w:r>
        <w:rPr/>
        <w:t>17</w:t>
      </w:r>
      <w:r>
        <w:rPr>
          <w:spacing w:val="-1"/>
        </w:rPr>
        <w:t> </w:t>
      </w:r>
      <w:r>
        <w:rPr/>
        <w:t>de</w:t>
      </w:r>
      <w:r>
        <w:rPr>
          <w:spacing w:val="-1"/>
        </w:rPr>
        <w:t> </w:t>
      </w:r>
      <w:r>
        <w:rPr/>
        <w:t>abril</w:t>
      </w:r>
      <w:r>
        <w:rPr>
          <w:spacing w:val="-2"/>
        </w:rPr>
        <w:t> </w:t>
      </w:r>
      <w:r>
        <w:rPr/>
        <w:t>de</w:t>
      </w:r>
      <w:r>
        <w:rPr>
          <w:spacing w:val="-3"/>
        </w:rPr>
        <w:t> </w:t>
      </w:r>
      <w:r>
        <w:rPr/>
        <w:t>2000,</w:t>
      </w:r>
      <w:r>
        <w:rPr>
          <w:spacing w:val="-3"/>
        </w:rPr>
        <w:t> </w:t>
      </w:r>
      <w:r>
        <w:rPr/>
        <w:t>fue</w:t>
      </w:r>
      <w:r>
        <w:rPr>
          <w:spacing w:val="-3"/>
        </w:rPr>
        <w:t> </w:t>
      </w:r>
      <w:r>
        <w:rPr/>
        <w:t>emitida</w:t>
      </w:r>
      <w:r>
        <w:rPr>
          <w:spacing w:val="-1"/>
        </w:rPr>
        <w:t> </w:t>
      </w:r>
      <w:r>
        <w:rPr/>
        <w:t>la</w:t>
      </w:r>
      <w:r>
        <w:rPr>
          <w:spacing w:val="-1"/>
        </w:rPr>
        <w:t> </w:t>
      </w:r>
      <w:r>
        <w:rPr/>
        <w:t>“Declaración de Viena sobre la Delincuencia y la Justicia: frente a los retos del siglo XXI”,</w:t>
      </w:r>
      <w:r>
        <w:rPr>
          <w:spacing w:val="13"/>
        </w:rPr>
        <w:t> </w:t>
      </w:r>
      <w:r>
        <w:rPr/>
        <w:t>en la cual se establece que</w:t>
      </w:r>
    </w:p>
    <w:p>
      <w:pPr>
        <w:spacing w:after="0"/>
        <w:jc w:val="both"/>
        <w:sectPr>
          <w:headerReference w:type="default" r:id="rId5"/>
          <w:type w:val="continuous"/>
          <w:pgSz w:w="12250" w:h="15820"/>
          <w:pgMar w:header="15" w:footer="0" w:top="1700" w:bottom="280" w:left="1300" w:right="1300"/>
          <w:pgNumType w:start="1"/>
        </w:sectPr>
      </w:pPr>
    </w:p>
    <w:p>
      <w:pPr>
        <w:spacing w:before="6"/>
        <w:ind w:left="118" w:right="121" w:firstLine="0"/>
        <w:jc w:val="both"/>
        <w:rPr>
          <w:sz w:val="20"/>
        </w:rPr>
      </w:pPr>
      <w:r>
        <w:rPr>
          <w:rFonts w:ascii="Arial" w:hAnsi="Arial"/>
          <w:b/>
          <w:sz w:val="20"/>
        </w:rPr>
        <w:t>“…toda medida eficaz de prevención del delito y justicia penal requiere la participación, como asociados y protagonistas, de los Gobiernos, las Instituciones Nacionales, Regionales e Internacionales, las Organizaciones Gubernamentales y No Gubernamentales y los diversos sectores de la sociedad civil, incluidos los medios de información y el sector privado, así como el reconocimiento de sus respectivas funciones y contribuciones”</w:t>
      </w:r>
      <w:r>
        <w:rPr>
          <w:sz w:val="20"/>
        </w:rPr>
        <w:t>.</w:t>
      </w:r>
    </w:p>
    <w:p>
      <w:pPr>
        <w:pStyle w:val="BodyText"/>
      </w:pPr>
    </w:p>
    <w:p>
      <w:pPr>
        <w:spacing w:before="0"/>
        <w:ind w:left="118" w:right="117" w:firstLine="0"/>
        <w:jc w:val="both"/>
        <w:rPr>
          <w:sz w:val="20"/>
        </w:rPr>
      </w:pPr>
      <w:r>
        <w:rPr>
          <w:rFonts w:ascii="Arial" w:hAnsi="Arial"/>
          <w:b/>
          <w:sz w:val="20"/>
        </w:rPr>
        <w:t>SEXTO.- </w:t>
      </w:r>
      <w:r>
        <w:rPr>
          <w:sz w:val="20"/>
        </w:rPr>
        <w:t>Que en el Undécimo Congreso de las Naciones Unidas sobre Prevención del Delito y Justicia Penal, efectuado en Bangkok del 18 al 25 de abril de 2005, fue emitida la </w:t>
      </w:r>
      <w:r>
        <w:rPr>
          <w:rFonts w:ascii="Arial" w:hAnsi="Arial"/>
          <w:b/>
          <w:sz w:val="20"/>
        </w:rPr>
        <w:t>“Declaración de Bangkok, Sinergias y respuestas: alianzas estratégicas en materia de prevención del delito y justicia penal”, que reconoce “que unas estrategias de prevención del delito amplias y eficaces pueden reducir significativamente la delincuencia y la victimización”</w:t>
      </w:r>
      <w:r>
        <w:rPr>
          <w:sz w:val="20"/>
        </w:rPr>
        <w:t>.</w:t>
      </w:r>
    </w:p>
    <w:p>
      <w:pPr>
        <w:spacing w:before="228"/>
        <w:ind w:left="118" w:right="115" w:firstLine="0"/>
        <w:jc w:val="both"/>
        <w:rPr>
          <w:sz w:val="20"/>
        </w:rPr>
      </w:pPr>
      <w:r>
        <w:rPr>
          <w:rFonts w:ascii="Arial" w:hAnsi="Arial"/>
          <w:b/>
          <w:sz w:val="20"/>
        </w:rPr>
        <w:t>SÉPTIMO.- </w:t>
      </w:r>
      <w:r>
        <w:rPr>
          <w:sz w:val="20"/>
        </w:rPr>
        <w:t>Que las Directrices para la Prevención del Delito establecen como uno de sus principios básicos la función rectora del gobierno señalando que: </w:t>
      </w:r>
      <w:r>
        <w:rPr>
          <w:rFonts w:ascii="Arial" w:hAnsi="Arial"/>
          <w:b/>
          <w:sz w:val="20"/>
        </w:rPr>
        <w:t>“El Gobierno, a todos los niveles, debe asumir una función rectora en la elaboración de estrategias eficaces y humanas de prevención del delito</w:t>
      </w:r>
      <w:r>
        <w:rPr>
          <w:rFonts w:ascii="Arial" w:hAnsi="Arial"/>
          <w:b/>
          <w:spacing w:val="80"/>
          <w:sz w:val="20"/>
        </w:rPr>
        <w:t> </w:t>
      </w:r>
      <w:r>
        <w:rPr>
          <w:rFonts w:ascii="Arial" w:hAnsi="Arial"/>
          <w:b/>
          <w:sz w:val="20"/>
        </w:rPr>
        <w:t>y la creación y el mantenimiento de marcos institucionales para su aplicación y examen”. </w:t>
      </w:r>
      <w:r>
        <w:rPr>
          <w:sz w:val="20"/>
        </w:rPr>
        <w:t>La reforma al Artículo 21 de la Constitución Política de los Estados Unidos Mexicanos de junio de 2008, referente a justicia penal y seguridad pública, establece entre las bases mínimas a las que está sujeto el Sistema Nacional de Seguridad Pública, </w:t>
      </w:r>
      <w:r>
        <w:rPr>
          <w:rFonts w:ascii="Arial" w:hAnsi="Arial"/>
          <w:b/>
          <w:sz w:val="20"/>
        </w:rPr>
        <w:t>“La formulación de políticas públicas tendientes a prevenir la comisión de delitos”</w:t>
      </w:r>
      <w:r>
        <w:rPr>
          <w:sz w:val="20"/>
        </w:rPr>
        <w:t>, así como </w:t>
      </w:r>
      <w:r>
        <w:rPr>
          <w:rFonts w:ascii="Arial" w:hAnsi="Arial"/>
          <w:b/>
          <w:sz w:val="20"/>
        </w:rPr>
        <w:t>“La participación de la comunidad que coadyuvará, entre otros, en los procesos de evaluación de las políticas de prevención del delito y de las instituciones de seguridad pública”</w:t>
      </w:r>
      <w:r>
        <w:rPr>
          <w:sz w:val="20"/>
        </w:rPr>
        <w:t>.</w:t>
      </w:r>
    </w:p>
    <w:p>
      <w:pPr>
        <w:pStyle w:val="BodyText"/>
        <w:spacing w:before="3"/>
      </w:pPr>
    </w:p>
    <w:p>
      <w:pPr>
        <w:pStyle w:val="BodyText"/>
        <w:ind w:left="118" w:right="121"/>
        <w:jc w:val="both"/>
      </w:pPr>
      <w:r>
        <w:rPr>
          <w:rFonts w:ascii="Arial" w:hAnsi="Arial"/>
          <w:b/>
        </w:rPr>
        <w:t>OCTAVO.- </w:t>
      </w:r>
      <w:r>
        <w:rPr/>
        <w:t>Que la Ley General del Sistema Nacional de Seguridad Pública, Publicada el 2 de enero de 2009, dispone que el Estado desarrollará políticas públicas en materia de prevención social del delito con carácter integral, sobre las causas que generan la comisión de delitos y conductas antisociales, así como programas y acciones para fomentar en la sociedad valores culturales y cívicos, que induzcan el respeto</w:t>
      </w:r>
      <w:r>
        <w:rPr>
          <w:spacing w:val="40"/>
        </w:rPr>
        <w:t> </w:t>
      </w:r>
      <w:r>
        <w:rPr/>
        <w:t>a la legalidad y a la protección de las víctimas”. Asimismo, crea la Comisión de Prevención del Delito y Participación Ciudadana, como Organismo permanente del Consejo Nacional de Seguridad Pública.</w:t>
      </w:r>
    </w:p>
    <w:p>
      <w:pPr>
        <w:pStyle w:val="BodyText"/>
        <w:spacing w:before="228"/>
        <w:ind w:left="118" w:right="113"/>
        <w:jc w:val="both"/>
      </w:pPr>
      <w:r>
        <w:rPr>
          <w:rFonts w:ascii="Arial" w:hAnsi="Arial"/>
          <w:b/>
        </w:rPr>
        <w:t>NOVENO.- </w:t>
      </w:r>
      <w:r>
        <w:rPr/>
        <w:t>Que la Ley de Seguridad Pública para el Estado de Hidalgo, publicada el 8 de agosto de</w:t>
      </w:r>
      <w:r>
        <w:rPr>
          <w:spacing w:val="40"/>
        </w:rPr>
        <w:t> </w:t>
      </w:r>
      <w:r>
        <w:rPr/>
        <w:t>2005, dispone que “El Estado combatirá las causas que generan la comisión de delitos y conductas antisociales</w:t>
      </w:r>
      <w:r>
        <w:rPr>
          <w:spacing w:val="-3"/>
        </w:rPr>
        <w:t> </w:t>
      </w:r>
      <w:r>
        <w:rPr/>
        <w:t>y</w:t>
      </w:r>
      <w:r>
        <w:rPr>
          <w:spacing w:val="-3"/>
        </w:rPr>
        <w:t> </w:t>
      </w:r>
      <w:r>
        <w:rPr/>
        <w:t>desarrollará</w:t>
      </w:r>
      <w:r>
        <w:rPr>
          <w:spacing w:val="-2"/>
        </w:rPr>
        <w:t> </w:t>
      </w:r>
      <w:r>
        <w:rPr/>
        <w:t>políticas,</w:t>
      </w:r>
      <w:r>
        <w:rPr>
          <w:spacing w:val="-2"/>
        </w:rPr>
        <w:t> </w:t>
      </w:r>
      <w:r>
        <w:rPr/>
        <w:t>programas</w:t>
      </w:r>
      <w:r>
        <w:rPr>
          <w:spacing w:val="-3"/>
        </w:rPr>
        <w:t> </w:t>
      </w:r>
      <w:r>
        <w:rPr/>
        <w:t>y</w:t>
      </w:r>
      <w:r>
        <w:rPr>
          <w:spacing w:val="-3"/>
        </w:rPr>
        <w:t> </w:t>
      </w:r>
      <w:r>
        <w:rPr/>
        <w:t>acciones</w:t>
      </w:r>
      <w:r>
        <w:rPr>
          <w:spacing w:val="-3"/>
        </w:rPr>
        <w:t> </w:t>
      </w:r>
      <w:r>
        <w:rPr/>
        <w:t>para</w:t>
      </w:r>
      <w:r>
        <w:rPr>
          <w:spacing w:val="-2"/>
        </w:rPr>
        <w:t> </w:t>
      </w:r>
      <w:r>
        <w:rPr/>
        <w:t>que</w:t>
      </w:r>
      <w:r>
        <w:rPr>
          <w:spacing w:val="-2"/>
        </w:rPr>
        <w:t> </w:t>
      </w:r>
      <w:r>
        <w:rPr/>
        <w:t>la</w:t>
      </w:r>
      <w:r>
        <w:rPr>
          <w:spacing w:val="-2"/>
        </w:rPr>
        <w:t> </w:t>
      </w:r>
      <w:r>
        <w:rPr/>
        <w:t>sociedad participe</w:t>
      </w:r>
      <w:r>
        <w:rPr>
          <w:spacing w:val="-3"/>
        </w:rPr>
        <w:t> </w:t>
      </w:r>
      <w:r>
        <w:rPr/>
        <w:t>en</w:t>
      </w:r>
      <w:r>
        <w:rPr>
          <w:spacing w:val="-3"/>
        </w:rPr>
        <w:t> </w:t>
      </w:r>
      <w:r>
        <w:rPr/>
        <w:t>la</w:t>
      </w:r>
      <w:r>
        <w:rPr>
          <w:spacing w:val="-2"/>
        </w:rPr>
        <w:t> </w:t>
      </w:r>
      <w:r>
        <w:rPr/>
        <w:t>planeación y supervisión de la seguridad pública y se fomenten valores culturales y cívicos que estimulen el respeto</w:t>
      </w:r>
      <w:r>
        <w:rPr>
          <w:spacing w:val="40"/>
        </w:rPr>
        <w:t> </w:t>
      </w:r>
      <w:r>
        <w:rPr/>
        <w:t>a la legalidad”. La inseguridad es el reto a vencer por los gobiernos del siglo XXI, que deben emprender acciones eficaces para reconquistar la seguridad en el más corto plazo posible, porque la comisión de un solo delito lesiona gravemente el tejido social.</w:t>
      </w:r>
    </w:p>
    <w:p>
      <w:pPr>
        <w:pStyle w:val="BodyText"/>
        <w:spacing w:before="1"/>
      </w:pPr>
    </w:p>
    <w:p>
      <w:pPr>
        <w:pStyle w:val="BodyText"/>
        <w:ind w:left="118" w:right="112"/>
        <w:jc w:val="both"/>
      </w:pPr>
      <w:r>
        <w:rPr>
          <w:rFonts w:ascii="Arial" w:hAnsi="Arial"/>
          <w:b/>
        </w:rPr>
        <w:t>DÉCIMO.-</w:t>
      </w:r>
      <w:r>
        <w:rPr>
          <w:rFonts w:ascii="Arial" w:hAnsi="Arial"/>
          <w:b/>
          <w:spacing w:val="-2"/>
        </w:rPr>
        <w:t> </w:t>
      </w:r>
      <w:r>
        <w:rPr/>
        <w:t>Que</w:t>
      </w:r>
      <w:r>
        <w:rPr>
          <w:spacing w:val="-2"/>
        </w:rPr>
        <w:t> </w:t>
      </w:r>
      <w:r>
        <w:rPr/>
        <w:t>la</w:t>
      </w:r>
      <w:r>
        <w:rPr>
          <w:spacing w:val="-1"/>
        </w:rPr>
        <w:t> </w:t>
      </w:r>
      <w:r>
        <w:rPr/>
        <w:t>sexta</w:t>
      </w:r>
      <w:r>
        <w:rPr>
          <w:spacing w:val="-4"/>
        </w:rPr>
        <w:t> </w:t>
      </w:r>
      <w:r>
        <w:rPr/>
        <w:t>encuesta</w:t>
      </w:r>
      <w:r>
        <w:rPr>
          <w:spacing w:val="-4"/>
        </w:rPr>
        <w:t> </w:t>
      </w:r>
      <w:r>
        <w:rPr/>
        <w:t>nacional</w:t>
      </w:r>
      <w:r>
        <w:rPr>
          <w:spacing w:val="-2"/>
        </w:rPr>
        <w:t> </w:t>
      </w:r>
      <w:r>
        <w:rPr/>
        <w:t>sobre</w:t>
      </w:r>
      <w:r>
        <w:rPr>
          <w:spacing w:val="-1"/>
        </w:rPr>
        <w:t> </w:t>
      </w:r>
      <w:r>
        <w:rPr/>
        <w:t>inseguridad,</w:t>
      </w:r>
      <w:r>
        <w:rPr>
          <w:spacing w:val="-1"/>
        </w:rPr>
        <w:t> </w:t>
      </w:r>
      <w:r>
        <w:rPr/>
        <w:t>publicada</w:t>
      </w:r>
      <w:r>
        <w:rPr>
          <w:spacing w:val="-1"/>
        </w:rPr>
        <w:t> </w:t>
      </w:r>
      <w:r>
        <w:rPr/>
        <w:t>en</w:t>
      </w:r>
      <w:r>
        <w:rPr>
          <w:spacing w:val="-1"/>
        </w:rPr>
        <w:t> </w:t>
      </w:r>
      <w:r>
        <w:rPr/>
        <w:t>agosto</w:t>
      </w:r>
      <w:r>
        <w:rPr>
          <w:spacing w:val="-4"/>
        </w:rPr>
        <w:t> </w:t>
      </w:r>
      <w:r>
        <w:rPr/>
        <w:t>de</w:t>
      </w:r>
      <w:r>
        <w:rPr>
          <w:spacing w:val="-3"/>
        </w:rPr>
        <w:t> </w:t>
      </w:r>
      <w:r>
        <w:rPr/>
        <w:t>2009</w:t>
      </w:r>
      <w:r>
        <w:rPr>
          <w:spacing w:val="-1"/>
        </w:rPr>
        <w:t> </w:t>
      </w:r>
      <w:r>
        <w:rPr/>
        <w:t>por el</w:t>
      </w:r>
      <w:r>
        <w:rPr>
          <w:spacing w:val="-2"/>
        </w:rPr>
        <w:t> </w:t>
      </w:r>
      <w:r>
        <w:rPr/>
        <w:t>Instituto Ciudadano de Estudios sobre la Inseguridad, A.C., señala a nuestra Entidad Federativa como una de las más seguras de la Nación; no obstante lo cual, debemos considerar prioritario el combate a la criminalidad, atentos a que el delito se combate por sus causas y no sólo por sus efectos, por lo que es preciso abordar el fenómeno delictivo en toda su complejidad, con un enfoque multidisciplinario e interinstitucional, para estar en</w:t>
      </w:r>
      <w:r>
        <w:rPr>
          <w:spacing w:val="-1"/>
        </w:rPr>
        <w:t> </w:t>
      </w:r>
      <w:r>
        <w:rPr/>
        <w:t>condiciones de emprender acciones que lo ataquen por todos sus flancos.</w:t>
      </w:r>
    </w:p>
    <w:p>
      <w:pPr>
        <w:pStyle w:val="BodyText"/>
        <w:spacing w:before="1"/>
      </w:pPr>
    </w:p>
    <w:p>
      <w:pPr>
        <w:pStyle w:val="BodyText"/>
        <w:ind w:left="118" w:right="117"/>
        <w:jc w:val="both"/>
      </w:pPr>
      <w:r>
        <w:rPr>
          <w:rFonts w:ascii="Arial" w:hAnsi="Arial"/>
          <w:b/>
        </w:rPr>
        <w:t>DÉCIMO PRIMERO.- </w:t>
      </w:r>
      <w:r>
        <w:rPr/>
        <w:t>Que la Comisión Interinstitucional para la Reforma Integral del Sistema de Justicia Penal en el Estado de Hidalgo, encomendó a la Subcomisión de Prevención del Delito, llevar a cabo los estudios pertinentes para la emisión de insumos que sirvan en el diseño de políticas públicas en la materia,</w:t>
      </w:r>
      <w:r>
        <w:rPr>
          <w:spacing w:val="-1"/>
        </w:rPr>
        <w:t> </w:t>
      </w:r>
      <w:r>
        <w:rPr/>
        <w:t>los cuales</w:t>
      </w:r>
      <w:r>
        <w:rPr>
          <w:spacing w:val="-2"/>
        </w:rPr>
        <w:t> </w:t>
      </w:r>
      <w:r>
        <w:rPr/>
        <w:t>consisten</w:t>
      </w:r>
      <w:r>
        <w:rPr>
          <w:spacing w:val="-2"/>
        </w:rPr>
        <w:t> </w:t>
      </w:r>
      <w:r>
        <w:rPr/>
        <w:t>en</w:t>
      </w:r>
      <w:r>
        <w:rPr>
          <w:spacing w:val="-2"/>
        </w:rPr>
        <w:t> </w:t>
      </w:r>
      <w:r>
        <w:rPr/>
        <w:t>la</w:t>
      </w:r>
      <w:r>
        <w:rPr>
          <w:spacing w:val="-1"/>
        </w:rPr>
        <w:t> </w:t>
      </w:r>
      <w:r>
        <w:rPr/>
        <w:t>encuesta</w:t>
      </w:r>
      <w:r>
        <w:rPr>
          <w:spacing w:val="-1"/>
        </w:rPr>
        <w:t> </w:t>
      </w:r>
      <w:r>
        <w:rPr/>
        <w:t>estatal</w:t>
      </w:r>
      <w:r>
        <w:rPr>
          <w:spacing w:val="-2"/>
        </w:rPr>
        <w:t> </w:t>
      </w:r>
      <w:r>
        <w:rPr/>
        <w:t>de</w:t>
      </w:r>
      <w:r>
        <w:rPr>
          <w:spacing w:val="-3"/>
        </w:rPr>
        <w:t> </w:t>
      </w:r>
      <w:r>
        <w:rPr/>
        <w:t>victimización</w:t>
      </w:r>
      <w:r>
        <w:rPr>
          <w:spacing w:val="-1"/>
        </w:rPr>
        <w:t> </w:t>
      </w:r>
      <w:r>
        <w:rPr/>
        <w:t>y</w:t>
      </w:r>
      <w:r>
        <w:rPr>
          <w:spacing w:val="-2"/>
        </w:rPr>
        <w:t> </w:t>
      </w:r>
      <w:r>
        <w:rPr/>
        <w:t>el</w:t>
      </w:r>
      <w:r>
        <w:rPr>
          <w:spacing w:val="-2"/>
        </w:rPr>
        <w:t> </w:t>
      </w:r>
      <w:r>
        <w:rPr/>
        <w:t>estudio de</w:t>
      </w:r>
      <w:r>
        <w:rPr>
          <w:spacing w:val="-4"/>
        </w:rPr>
        <w:t> </w:t>
      </w:r>
      <w:r>
        <w:rPr/>
        <w:t>caso</w:t>
      </w:r>
      <w:r>
        <w:rPr>
          <w:spacing w:val="-1"/>
        </w:rPr>
        <w:t> </w:t>
      </w:r>
      <w:r>
        <w:rPr/>
        <w:t>sobre</w:t>
      </w:r>
      <w:r>
        <w:rPr>
          <w:spacing w:val="-1"/>
        </w:rPr>
        <w:t> </w:t>
      </w:r>
      <w:r>
        <w:rPr/>
        <w:t>el</w:t>
      </w:r>
      <w:r>
        <w:rPr>
          <w:spacing w:val="-2"/>
        </w:rPr>
        <w:t> </w:t>
      </w:r>
      <w:r>
        <w:rPr/>
        <w:t>perfil</w:t>
      </w:r>
      <w:r>
        <w:rPr>
          <w:spacing w:val="-2"/>
        </w:rPr>
        <w:t> </w:t>
      </w:r>
      <w:r>
        <w:rPr/>
        <w:t>de la delincuencia en el Distrito Judicial de Pachuca de Soto, cuyos resultados fueron publicados y</w:t>
      </w:r>
      <w:r>
        <w:rPr>
          <w:spacing w:val="40"/>
        </w:rPr>
        <w:t> </w:t>
      </w:r>
      <w:r>
        <w:rPr/>
        <w:t>difundidos ampliamente. Asimismo, se elaboró y publicó un diagnóstico socio demográfico del Estado y</w:t>
      </w:r>
      <w:r>
        <w:rPr>
          <w:spacing w:val="40"/>
        </w:rPr>
        <w:t> </w:t>
      </w:r>
      <w:r>
        <w:rPr/>
        <w:t>se convocó a la comunidad hidalguense a expresar sus opiniones en materia de seguridad, salud, educación y familia, a través de foros virtuales de consulta. Finalmente, se emitió el Plan Rector para la Prevención del Delito, documento programático que articula las acciones y estrategias institucionales que inciden en la prevención del delito.</w:t>
      </w:r>
    </w:p>
    <w:p>
      <w:pPr>
        <w:spacing w:after="0"/>
        <w:jc w:val="both"/>
        <w:sectPr>
          <w:headerReference w:type="default" r:id="rId6"/>
          <w:footerReference w:type="default" r:id="rId7"/>
          <w:pgSz w:w="12250" w:h="15820"/>
          <w:pgMar w:header="0" w:footer="928" w:top="1680" w:bottom="1120" w:left="1300" w:right="1300"/>
          <w:pgNumType w:start="2"/>
        </w:sectPr>
      </w:pPr>
    </w:p>
    <w:p>
      <w:pPr>
        <w:pStyle w:val="BodyText"/>
        <w:spacing w:before="4"/>
      </w:pPr>
    </w:p>
    <w:p>
      <w:pPr>
        <w:pStyle w:val="BodyText"/>
        <w:ind w:left="118" w:right="116"/>
        <w:jc w:val="both"/>
      </w:pPr>
      <w:r>
        <w:rPr>
          <w:rFonts w:ascii="Arial" w:hAnsi="Arial"/>
          <w:b/>
        </w:rPr>
        <w:t>DÉCIMO SEGUNDO.- </w:t>
      </w:r>
      <w:r>
        <w:rPr/>
        <w:t>Que la iniciativa de Ley que se somete a la consideración, es un instrumento acorde con los objetivos, estrategias, prioridades y programas contenidos en el Plan Nacional de Desarrollo 2007-2012 y en el Plan Estatal de Desarrollo 2005-2011.</w:t>
      </w:r>
    </w:p>
    <w:p>
      <w:pPr>
        <w:pStyle w:val="BodyText"/>
        <w:spacing w:before="2"/>
      </w:pPr>
    </w:p>
    <w:p>
      <w:pPr>
        <w:spacing w:before="0"/>
        <w:ind w:left="1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7"/>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5"/>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9"/>
        <w:rPr>
          <w:rFonts w:ascii="Arial"/>
          <w:b/>
        </w:rPr>
      </w:pPr>
    </w:p>
    <w:p>
      <w:pPr>
        <w:spacing w:before="0"/>
        <w:ind w:left="2636" w:right="2637" w:firstLine="0"/>
        <w:jc w:val="center"/>
        <w:rPr>
          <w:rFonts w:ascii="Arial"/>
          <w:b/>
          <w:sz w:val="20"/>
        </w:rPr>
      </w:pP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C</w:t>
      </w:r>
      <w:r>
        <w:rPr>
          <w:rFonts w:ascii="Arial"/>
          <w:b/>
          <w:spacing w:val="53"/>
          <w:sz w:val="20"/>
        </w:rPr>
        <w:t> </w:t>
      </w:r>
      <w:r>
        <w:rPr>
          <w:rFonts w:ascii="Arial"/>
          <w:b/>
          <w:sz w:val="20"/>
        </w:rPr>
        <w:t>R</w:t>
      </w:r>
      <w:r>
        <w:rPr>
          <w:rFonts w:ascii="Arial"/>
          <w:b/>
          <w:spacing w:val="55"/>
          <w:sz w:val="20"/>
        </w:rPr>
        <w:t> </w:t>
      </w:r>
      <w:r>
        <w:rPr>
          <w:rFonts w:ascii="Arial"/>
          <w:b/>
          <w:sz w:val="20"/>
        </w:rPr>
        <w:t>E</w:t>
      </w:r>
      <w:r>
        <w:rPr>
          <w:rFonts w:ascii="Arial"/>
          <w:b/>
          <w:spacing w:val="51"/>
          <w:sz w:val="20"/>
        </w:rPr>
        <w:t> </w:t>
      </w:r>
      <w:r>
        <w:rPr>
          <w:rFonts w:ascii="Arial"/>
          <w:b/>
          <w:sz w:val="20"/>
        </w:rPr>
        <w:t>T</w:t>
      </w:r>
      <w:r>
        <w:rPr>
          <w:rFonts w:ascii="Arial"/>
          <w:b/>
          <w:spacing w:val="53"/>
          <w:sz w:val="20"/>
        </w:rPr>
        <w:t> </w:t>
      </w:r>
      <w:r>
        <w:rPr>
          <w:rFonts w:ascii="Arial"/>
          <w:b/>
          <w:spacing w:val="-10"/>
          <w:sz w:val="20"/>
        </w:rPr>
        <w:t>O</w:t>
      </w:r>
    </w:p>
    <w:p>
      <w:pPr>
        <w:pStyle w:val="BodyText"/>
        <w:rPr>
          <w:rFonts w:ascii="Arial"/>
          <w:b/>
        </w:rPr>
      </w:pPr>
    </w:p>
    <w:p>
      <w:pPr>
        <w:spacing w:before="1"/>
        <w:ind w:left="2663" w:right="2660" w:hanging="4"/>
        <w:jc w:val="center"/>
        <w:rPr>
          <w:rFonts w:ascii="Arial" w:hAnsi="Arial"/>
          <w:b/>
          <w:sz w:val="20"/>
        </w:rPr>
      </w:pPr>
      <w:r>
        <w:rPr>
          <w:rFonts w:ascii="Arial" w:hAnsi="Arial"/>
          <w:b/>
          <w:sz w:val="20"/>
        </w:rPr>
        <w:t>QUE CONTIENE LA LEY DE PREVENCIÓN DEL</w:t>
      </w:r>
      <w:r>
        <w:rPr>
          <w:rFonts w:ascii="Arial" w:hAnsi="Arial"/>
          <w:b/>
          <w:spacing w:val="-7"/>
          <w:sz w:val="20"/>
        </w:rPr>
        <w:t> </w:t>
      </w:r>
      <w:r>
        <w:rPr>
          <w:rFonts w:ascii="Arial" w:hAnsi="Arial"/>
          <w:b/>
          <w:sz w:val="20"/>
        </w:rPr>
        <w:t>DELITO</w:t>
      </w:r>
      <w:r>
        <w:rPr>
          <w:rFonts w:ascii="Arial" w:hAnsi="Arial"/>
          <w:b/>
          <w:spacing w:val="-6"/>
          <w:sz w:val="20"/>
        </w:rPr>
        <w:t> </w:t>
      </w:r>
      <w:r>
        <w:rPr>
          <w:rFonts w:ascii="Arial" w:hAnsi="Arial"/>
          <w:b/>
          <w:sz w:val="20"/>
        </w:rPr>
        <w:t>PARA</w:t>
      </w:r>
      <w:r>
        <w:rPr>
          <w:rFonts w:ascii="Arial" w:hAnsi="Arial"/>
          <w:b/>
          <w:spacing w:val="-8"/>
          <w:sz w:val="20"/>
        </w:rPr>
        <w:t> </w:t>
      </w:r>
      <w:r>
        <w:rPr>
          <w:rFonts w:ascii="Arial" w:hAnsi="Arial"/>
          <w:b/>
          <w:sz w:val="20"/>
        </w:rPr>
        <w:t>EL</w:t>
      </w:r>
      <w:r>
        <w:rPr>
          <w:rFonts w:ascii="Arial" w:hAnsi="Arial"/>
          <w:b/>
          <w:spacing w:val="-5"/>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HIDALGO</w:t>
      </w:r>
    </w:p>
    <w:p>
      <w:pPr>
        <w:pStyle w:val="BodyText"/>
        <w:spacing w:before="229"/>
        <w:rPr>
          <w:rFonts w:ascii="Arial"/>
          <w:b/>
        </w:rPr>
      </w:pPr>
    </w:p>
    <w:p>
      <w:pPr>
        <w:spacing w:before="0"/>
        <w:ind w:left="3385" w:right="33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
        <w:rPr>
          <w:rFonts w:ascii="Arial"/>
          <w:b/>
        </w:rPr>
      </w:pPr>
    </w:p>
    <w:p>
      <w:pPr>
        <w:pStyle w:val="BodyText"/>
        <w:ind w:left="118" w:right="123"/>
        <w:jc w:val="both"/>
      </w:pPr>
      <w:r>
        <w:rPr/>
        <w:t>Art. 1. La presente Ley es de orden público, de interés social y tiene por objeto establecer las bases para la articulación de programas, proyectos y acciones tendientes a prevenir la comisión de delitos e infracciones administrativas en el Estado de Hidalgo, instrumentando las medidas necesarias para evitar su realización.</w:t>
      </w:r>
    </w:p>
    <w:p>
      <w:pPr>
        <w:pStyle w:val="BodyText"/>
        <w:spacing w:before="229"/>
        <w:ind w:left="118"/>
        <w:jc w:val="both"/>
      </w:pPr>
      <w:r>
        <w:rPr/>
        <w:t>Art.</w:t>
      </w:r>
      <w:r>
        <w:rPr>
          <w:spacing w:val="-6"/>
        </w:rPr>
        <w:t> </w:t>
      </w:r>
      <w:r>
        <w:rPr/>
        <w:t>2.</w:t>
      </w:r>
      <w:r>
        <w:rPr>
          <w:spacing w:val="-4"/>
        </w:rPr>
        <w:t> </w:t>
      </w:r>
      <w:r>
        <w:rPr/>
        <w:t>Para</w:t>
      </w:r>
      <w:r>
        <w:rPr>
          <w:spacing w:val="-5"/>
        </w:rPr>
        <w:t> </w:t>
      </w:r>
      <w:r>
        <w:rPr/>
        <w:t>efectos</w:t>
      </w:r>
      <w:r>
        <w:rPr>
          <w:spacing w:val="-5"/>
        </w:rPr>
        <w:t> </w:t>
      </w:r>
      <w:r>
        <w:rPr/>
        <w:t>de</w:t>
      </w:r>
      <w:r>
        <w:rPr>
          <w:spacing w:val="-4"/>
        </w:rPr>
        <w:t> </w:t>
      </w:r>
      <w:r>
        <w:rPr/>
        <w:t>esta</w:t>
      </w:r>
      <w:r>
        <w:rPr>
          <w:spacing w:val="-4"/>
        </w:rPr>
        <w:t> </w:t>
      </w:r>
      <w:r>
        <w:rPr/>
        <w:t>Ley,</w:t>
      </w:r>
      <w:r>
        <w:rPr>
          <w:spacing w:val="-6"/>
        </w:rPr>
        <w:t> </w:t>
      </w:r>
      <w:r>
        <w:rPr/>
        <w:t>se</w:t>
      </w:r>
      <w:r>
        <w:rPr>
          <w:spacing w:val="-5"/>
        </w:rPr>
        <w:t> </w:t>
      </w:r>
      <w:r>
        <w:rPr/>
        <w:t>entenderá</w:t>
      </w:r>
      <w:r>
        <w:rPr>
          <w:spacing w:val="-3"/>
        </w:rPr>
        <w:t> </w:t>
      </w:r>
      <w:r>
        <w:rPr>
          <w:spacing w:val="-4"/>
        </w:rPr>
        <w:t>por:</w:t>
      </w:r>
    </w:p>
    <w:p>
      <w:pPr>
        <w:pStyle w:val="BodyText"/>
        <w:spacing w:before="229"/>
        <w:ind w:left="118" w:right="117"/>
        <w:jc w:val="both"/>
      </w:pPr>
      <w:r>
        <w:rPr/>
        <w:t>I.- Plan Rector: Documento programático que articula las acciones y estrategias institucionales que inciden en la prevención del delito;</w:t>
      </w:r>
    </w:p>
    <w:p>
      <w:pPr>
        <w:pStyle w:val="BodyText"/>
        <w:spacing w:before="1"/>
      </w:pPr>
    </w:p>
    <w:p>
      <w:pPr>
        <w:pStyle w:val="BodyText"/>
        <w:ind w:left="118" w:right="124"/>
        <w:jc w:val="both"/>
      </w:pPr>
      <w:r>
        <w:rPr/>
        <w:t>II.- Cultura de la legalidad: La convicción de que es mediante la práctica constante y cotidiana del acatamiento y respeto de las normas jurídicas, como pueden lograrse mejores condiciones de</w:t>
      </w:r>
      <w:r>
        <w:rPr>
          <w:spacing w:val="40"/>
        </w:rPr>
        <w:t> </w:t>
      </w:r>
      <w:r>
        <w:rPr/>
        <w:t>convivencia social;</w:t>
      </w:r>
    </w:p>
    <w:p>
      <w:pPr>
        <w:pStyle w:val="BodyText"/>
      </w:pPr>
    </w:p>
    <w:p>
      <w:pPr>
        <w:pStyle w:val="BodyText"/>
        <w:ind w:left="118"/>
        <w:jc w:val="both"/>
      </w:pPr>
      <w:r>
        <w:rPr/>
        <w:t>III.-</w:t>
      </w:r>
      <w:r>
        <w:rPr>
          <w:spacing w:val="-7"/>
        </w:rPr>
        <w:t> </w:t>
      </w:r>
      <w:r>
        <w:rPr/>
        <w:t>Consejo</w:t>
      </w:r>
      <w:r>
        <w:rPr>
          <w:spacing w:val="-5"/>
        </w:rPr>
        <w:t> </w:t>
      </w:r>
      <w:r>
        <w:rPr/>
        <w:t>Estatal:</w:t>
      </w:r>
      <w:r>
        <w:rPr>
          <w:spacing w:val="-5"/>
        </w:rPr>
        <w:t> </w:t>
      </w:r>
      <w:r>
        <w:rPr/>
        <w:t>El</w:t>
      </w:r>
      <w:r>
        <w:rPr>
          <w:spacing w:val="-8"/>
        </w:rPr>
        <w:t> </w:t>
      </w:r>
      <w:r>
        <w:rPr/>
        <w:t>Consejo</w:t>
      </w:r>
      <w:r>
        <w:rPr>
          <w:spacing w:val="-7"/>
        </w:rPr>
        <w:t> </w:t>
      </w:r>
      <w:r>
        <w:rPr/>
        <w:t>Estatal</w:t>
      </w:r>
      <w:r>
        <w:rPr>
          <w:spacing w:val="-6"/>
        </w:rPr>
        <w:t> </w:t>
      </w:r>
      <w:r>
        <w:rPr/>
        <w:t>de</w:t>
      </w:r>
      <w:r>
        <w:rPr>
          <w:spacing w:val="-6"/>
        </w:rPr>
        <w:t> </w:t>
      </w:r>
      <w:r>
        <w:rPr/>
        <w:t>Prevención</w:t>
      </w:r>
      <w:r>
        <w:rPr>
          <w:spacing w:val="-7"/>
        </w:rPr>
        <w:t> </w:t>
      </w:r>
      <w:r>
        <w:rPr/>
        <w:t>del</w:t>
      </w:r>
      <w:r>
        <w:rPr>
          <w:spacing w:val="-8"/>
        </w:rPr>
        <w:t> </w:t>
      </w:r>
      <w:r>
        <w:rPr/>
        <w:t>Delito,</w:t>
      </w:r>
      <w:r>
        <w:rPr>
          <w:spacing w:val="-7"/>
        </w:rPr>
        <w:t> </w:t>
      </w:r>
      <w:r>
        <w:rPr>
          <w:spacing w:val="-10"/>
        </w:rPr>
        <w:t>y</w:t>
      </w:r>
    </w:p>
    <w:p>
      <w:pPr>
        <w:pStyle w:val="BodyText"/>
      </w:pPr>
    </w:p>
    <w:p>
      <w:pPr>
        <w:pStyle w:val="BodyText"/>
        <w:spacing w:before="1"/>
        <w:ind w:left="118"/>
        <w:jc w:val="both"/>
      </w:pPr>
      <w:r>
        <w:rPr/>
        <w:t>IV.-</w:t>
      </w:r>
      <w:r>
        <w:rPr>
          <w:spacing w:val="-9"/>
        </w:rPr>
        <w:t> </w:t>
      </w:r>
      <w:r>
        <w:rPr/>
        <w:t>Consejos</w:t>
      </w:r>
      <w:r>
        <w:rPr>
          <w:spacing w:val="-8"/>
        </w:rPr>
        <w:t> </w:t>
      </w:r>
      <w:r>
        <w:rPr/>
        <w:t>Regionales:</w:t>
      </w:r>
      <w:r>
        <w:rPr>
          <w:spacing w:val="-7"/>
        </w:rPr>
        <w:t> </w:t>
      </w:r>
      <w:r>
        <w:rPr/>
        <w:t>Los</w:t>
      </w:r>
      <w:r>
        <w:rPr>
          <w:spacing w:val="-8"/>
        </w:rPr>
        <w:t> </w:t>
      </w:r>
      <w:r>
        <w:rPr/>
        <w:t>consejos</w:t>
      </w:r>
      <w:r>
        <w:rPr>
          <w:spacing w:val="-8"/>
        </w:rPr>
        <w:t> </w:t>
      </w:r>
      <w:r>
        <w:rPr/>
        <w:t>regionales</w:t>
      </w:r>
      <w:r>
        <w:rPr>
          <w:spacing w:val="-6"/>
        </w:rPr>
        <w:t> </w:t>
      </w:r>
      <w:r>
        <w:rPr/>
        <w:t>de</w:t>
      </w:r>
      <w:r>
        <w:rPr>
          <w:spacing w:val="-8"/>
        </w:rPr>
        <w:t> </w:t>
      </w:r>
      <w:r>
        <w:rPr/>
        <w:t>Prevención</w:t>
      </w:r>
      <w:r>
        <w:rPr>
          <w:spacing w:val="-8"/>
        </w:rPr>
        <w:t> </w:t>
      </w:r>
      <w:r>
        <w:rPr/>
        <w:t>del</w:t>
      </w:r>
      <w:r>
        <w:rPr>
          <w:spacing w:val="-8"/>
        </w:rPr>
        <w:t> </w:t>
      </w:r>
      <w:r>
        <w:rPr>
          <w:spacing w:val="-2"/>
        </w:rPr>
        <w:t>Delito.</w:t>
      </w:r>
    </w:p>
    <w:p>
      <w:pPr>
        <w:pStyle w:val="BodyText"/>
        <w:spacing w:before="228"/>
        <w:ind w:left="118" w:right="116"/>
        <w:jc w:val="both"/>
      </w:pPr>
      <w:r>
        <w:rPr/>
        <w:t>Art. 3. Se considerará prevención del delito a toda medida para enfrentar y atender los factores causales del delito, por lo cual el Estado de Hidalgo desarrollará políticas con carácter integral, que se coordinen con las estrategias para el desarrollo social, económico, político y cultural.</w:t>
      </w:r>
    </w:p>
    <w:p>
      <w:pPr>
        <w:pStyle w:val="BodyText"/>
        <w:spacing w:before="2"/>
      </w:pPr>
    </w:p>
    <w:p>
      <w:pPr>
        <w:pStyle w:val="BodyText"/>
        <w:ind w:left="118"/>
        <w:jc w:val="both"/>
      </w:pPr>
      <w:r>
        <w:rPr/>
        <w:t>Art.</w:t>
      </w:r>
      <w:r>
        <w:rPr>
          <w:spacing w:val="-7"/>
        </w:rPr>
        <w:t> </w:t>
      </w:r>
      <w:r>
        <w:rPr/>
        <w:t>4.</w:t>
      </w:r>
      <w:r>
        <w:rPr>
          <w:spacing w:val="-6"/>
        </w:rPr>
        <w:t> </w:t>
      </w:r>
      <w:r>
        <w:rPr/>
        <w:t>Las</w:t>
      </w:r>
      <w:r>
        <w:rPr>
          <w:spacing w:val="-6"/>
        </w:rPr>
        <w:t> </w:t>
      </w:r>
      <w:r>
        <w:rPr/>
        <w:t>estrategias</w:t>
      </w:r>
      <w:r>
        <w:rPr>
          <w:spacing w:val="-6"/>
        </w:rPr>
        <w:t> </w:t>
      </w:r>
      <w:r>
        <w:rPr/>
        <w:t>de</w:t>
      </w:r>
      <w:r>
        <w:rPr>
          <w:spacing w:val="-7"/>
        </w:rPr>
        <w:t> </w:t>
      </w:r>
      <w:r>
        <w:rPr/>
        <w:t>prevención</w:t>
      </w:r>
      <w:r>
        <w:rPr>
          <w:spacing w:val="-5"/>
        </w:rPr>
        <w:t> </w:t>
      </w:r>
      <w:r>
        <w:rPr/>
        <w:t>del</w:t>
      </w:r>
      <w:r>
        <w:rPr>
          <w:spacing w:val="-8"/>
        </w:rPr>
        <w:t> </w:t>
      </w:r>
      <w:r>
        <w:rPr/>
        <w:t>delito</w:t>
      </w:r>
      <w:r>
        <w:rPr>
          <w:spacing w:val="-8"/>
        </w:rPr>
        <w:t> </w:t>
      </w:r>
      <w:r>
        <w:rPr/>
        <w:t>se</w:t>
      </w:r>
      <w:r>
        <w:rPr>
          <w:spacing w:val="-5"/>
        </w:rPr>
        <w:t> </w:t>
      </w:r>
      <w:r>
        <w:rPr/>
        <w:t>implementarán</w:t>
      </w:r>
      <w:r>
        <w:rPr>
          <w:spacing w:val="-5"/>
        </w:rPr>
        <w:t> </w:t>
      </w:r>
      <w:r>
        <w:rPr/>
        <w:t>mediante</w:t>
      </w:r>
      <w:r>
        <w:rPr>
          <w:spacing w:val="-6"/>
        </w:rPr>
        <w:t> </w:t>
      </w:r>
      <w:r>
        <w:rPr/>
        <w:t>tres</w:t>
      </w:r>
      <w:r>
        <w:rPr>
          <w:spacing w:val="-5"/>
        </w:rPr>
        <w:t> </w:t>
      </w:r>
      <w:r>
        <w:rPr/>
        <w:t>grados</w:t>
      </w:r>
      <w:r>
        <w:rPr>
          <w:spacing w:val="-6"/>
        </w:rPr>
        <w:t> </w:t>
      </w:r>
      <w:r>
        <w:rPr/>
        <w:t>de</w:t>
      </w:r>
      <w:r>
        <w:rPr>
          <w:spacing w:val="-6"/>
        </w:rPr>
        <w:t> </w:t>
      </w:r>
      <w:r>
        <w:rPr>
          <w:spacing w:val="-2"/>
        </w:rPr>
        <w:t>intervención:</w:t>
      </w:r>
    </w:p>
    <w:p>
      <w:pPr>
        <w:pStyle w:val="ListParagraph"/>
        <w:numPr>
          <w:ilvl w:val="0"/>
          <w:numId w:val="1"/>
        </w:numPr>
        <w:tabs>
          <w:tab w:pos="294" w:val="left" w:leader="none"/>
        </w:tabs>
        <w:spacing w:line="240" w:lineRule="auto" w:before="228" w:after="0"/>
        <w:ind w:left="118" w:right="115" w:firstLine="0"/>
        <w:jc w:val="both"/>
        <w:rPr>
          <w:sz w:val="20"/>
        </w:rPr>
      </w:pPr>
      <w:r>
        <w:rPr>
          <w:sz w:val="20"/>
        </w:rPr>
        <w:t>Prevención primaria, que comprende medidas orientadas hacia los factores sociales y a los problemas psicológicos que predisponen a los jóvenes a cometer delitos y se ocupa de la reducción de las oportunidades delictivas;</w:t>
      </w:r>
    </w:p>
    <w:p>
      <w:pPr>
        <w:pStyle w:val="BodyText"/>
        <w:spacing w:before="2"/>
      </w:pPr>
    </w:p>
    <w:p>
      <w:pPr>
        <w:pStyle w:val="ListParagraph"/>
        <w:numPr>
          <w:ilvl w:val="0"/>
          <w:numId w:val="1"/>
        </w:numPr>
        <w:tabs>
          <w:tab w:pos="284" w:val="left" w:leader="none"/>
        </w:tabs>
        <w:spacing w:line="240" w:lineRule="auto" w:before="0" w:after="0"/>
        <w:ind w:left="118" w:right="126" w:firstLine="0"/>
        <w:jc w:val="both"/>
        <w:rPr>
          <w:sz w:val="20"/>
        </w:rPr>
      </w:pPr>
      <w:r>
        <w:rPr>
          <w:sz w:val="20"/>
        </w:rPr>
        <w:t>Prevención secundaria, que comprende medidas dirigidas a grupos de riesgo y se encarga de la modificación de la conducta de las personas, en especial de quienes manifiestan mayores riesgos de desarrollar una trayectoria delictiva; y</w:t>
      </w:r>
    </w:p>
    <w:p>
      <w:pPr>
        <w:pStyle w:val="BodyText"/>
      </w:pPr>
    </w:p>
    <w:p>
      <w:pPr>
        <w:pStyle w:val="ListParagraph"/>
        <w:numPr>
          <w:ilvl w:val="0"/>
          <w:numId w:val="1"/>
        </w:numPr>
        <w:tabs>
          <w:tab w:pos="465" w:val="left" w:leader="none"/>
        </w:tabs>
        <w:spacing w:line="240" w:lineRule="auto" w:before="0" w:after="0"/>
        <w:ind w:left="118" w:right="123" w:firstLine="0"/>
        <w:jc w:val="both"/>
        <w:rPr>
          <w:sz w:val="20"/>
        </w:rPr>
      </w:pPr>
      <w:r>
        <w:rPr>
          <w:sz w:val="20"/>
        </w:rPr>
        <w:t>Prevención terciaria, que comprende medidas para prevenir la reincidencia delictiva, mediante programas de reinserción social o de tratamiento y se centra en truncar las trayectorias delictivas.</w:t>
      </w:r>
    </w:p>
    <w:p>
      <w:pPr>
        <w:pStyle w:val="BodyText"/>
        <w:spacing w:before="229"/>
        <w:ind w:left="118"/>
        <w:jc w:val="both"/>
      </w:pPr>
      <w:r>
        <w:rPr/>
        <w:t>Art.</w:t>
      </w:r>
      <w:r>
        <w:rPr>
          <w:spacing w:val="-7"/>
        </w:rPr>
        <w:t> </w:t>
      </w:r>
      <w:r>
        <w:rPr/>
        <w:t>5.</w:t>
      </w:r>
      <w:r>
        <w:rPr>
          <w:spacing w:val="-6"/>
        </w:rPr>
        <w:t> </w:t>
      </w:r>
      <w:r>
        <w:rPr/>
        <w:t>Las</w:t>
      </w:r>
      <w:r>
        <w:rPr>
          <w:spacing w:val="-6"/>
        </w:rPr>
        <w:t> </w:t>
      </w:r>
      <w:r>
        <w:rPr/>
        <w:t>estrategias</w:t>
      </w:r>
      <w:r>
        <w:rPr>
          <w:spacing w:val="-6"/>
        </w:rPr>
        <w:t> </w:t>
      </w:r>
      <w:r>
        <w:rPr/>
        <w:t>de</w:t>
      </w:r>
      <w:r>
        <w:rPr>
          <w:spacing w:val="-6"/>
        </w:rPr>
        <w:t> </w:t>
      </w:r>
      <w:r>
        <w:rPr/>
        <w:t>prevención</w:t>
      </w:r>
      <w:r>
        <w:rPr>
          <w:spacing w:val="-6"/>
        </w:rPr>
        <w:t> </w:t>
      </w:r>
      <w:r>
        <w:rPr/>
        <w:t>del</w:t>
      </w:r>
      <w:r>
        <w:rPr>
          <w:spacing w:val="-7"/>
        </w:rPr>
        <w:t> </w:t>
      </w:r>
      <w:r>
        <w:rPr/>
        <w:t>delito</w:t>
      </w:r>
      <w:r>
        <w:rPr>
          <w:spacing w:val="-6"/>
        </w:rPr>
        <w:t> </w:t>
      </w:r>
      <w:r>
        <w:rPr/>
        <w:t>abarcarán</w:t>
      </w:r>
      <w:r>
        <w:rPr>
          <w:spacing w:val="-7"/>
        </w:rPr>
        <w:t> </w:t>
      </w:r>
      <w:r>
        <w:rPr/>
        <w:t>tres </w:t>
      </w:r>
      <w:r>
        <w:rPr>
          <w:spacing w:val="-2"/>
        </w:rPr>
        <w:t>formas:</w:t>
      </w:r>
    </w:p>
    <w:p>
      <w:pPr>
        <w:spacing w:after="0"/>
        <w:jc w:val="both"/>
        <w:sectPr>
          <w:pgSz w:w="12250" w:h="15820"/>
          <w:pgMar w:header="0" w:footer="928" w:top="1680" w:bottom="1120" w:left="1300" w:right="1300"/>
        </w:sectPr>
      </w:pPr>
    </w:p>
    <w:p>
      <w:pPr>
        <w:pStyle w:val="BodyText"/>
        <w:spacing w:before="6"/>
        <w:ind w:left="118" w:right="175"/>
        <w:jc w:val="both"/>
      </w:pPr>
      <w:r>
        <w:rPr/>
        <w:t>I.- Prevención situacional, que consiste en modificar el entorno urbano, ambiental y tecnológico, para propiciar la convivencia, la cohesión y esparcimiento social y eliminar las condiciones que propician y facilitan la delincuencia;</w:t>
      </w:r>
    </w:p>
    <w:p>
      <w:pPr>
        <w:pStyle w:val="BodyText"/>
        <w:spacing w:before="230"/>
        <w:ind w:left="118" w:right="166"/>
        <w:jc w:val="both"/>
      </w:pPr>
      <w:r>
        <w:rPr/>
        <w:t>II.- Prevención social, que consiste en programas de carácter social dirigidos a grupos en riesgo, y tiene como propósito reducir los factores criminógenos mediante actividades multidisciplinarias e interinstitucionales relacionadas con el fortalecimiento y protección de la familia para evitar su desintegración, la prevención de adicciones, la educación, el deporte, la cultura, la vivienda, la salud y el desarrollo social, urbano y económico; y</w:t>
      </w:r>
    </w:p>
    <w:p>
      <w:pPr>
        <w:pStyle w:val="BodyText"/>
        <w:spacing w:before="230"/>
        <w:ind w:left="118" w:right="166"/>
        <w:jc w:val="both"/>
      </w:pPr>
      <w:r>
        <w:rPr/>
        <w:t>III.- Prevención comunitaria, que tiene por objeto promover la participación ciudadana y comunitaria en acciones tendientes a establecer prioridades de la prevención, mejorar las condiciones de seguridad de su</w:t>
      </w:r>
      <w:r>
        <w:rPr>
          <w:spacing w:val="-3"/>
        </w:rPr>
        <w:t> </w:t>
      </w:r>
      <w:r>
        <w:rPr/>
        <w:t>entorno</w:t>
      </w:r>
      <w:r>
        <w:rPr>
          <w:spacing w:val="-3"/>
        </w:rPr>
        <w:t> </w:t>
      </w:r>
      <w:r>
        <w:rPr/>
        <w:t>y</w:t>
      </w:r>
      <w:r>
        <w:rPr>
          <w:spacing w:val="-2"/>
        </w:rPr>
        <w:t> </w:t>
      </w:r>
      <w:r>
        <w:rPr/>
        <w:t>al</w:t>
      </w:r>
      <w:r>
        <w:rPr>
          <w:spacing w:val="-4"/>
        </w:rPr>
        <w:t> </w:t>
      </w:r>
      <w:r>
        <w:rPr/>
        <w:t>desarrollo</w:t>
      </w:r>
      <w:r>
        <w:rPr>
          <w:spacing w:val="-3"/>
        </w:rPr>
        <w:t> </w:t>
      </w:r>
      <w:r>
        <w:rPr/>
        <w:t>de</w:t>
      </w:r>
      <w:r>
        <w:rPr>
          <w:spacing w:val="-3"/>
        </w:rPr>
        <w:t> </w:t>
      </w:r>
      <w:r>
        <w:rPr/>
        <w:t>prácticas que</w:t>
      </w:r>
      <w:r>
        <w:rPr>
          <w:spacing w:val="-1"/>
        </w:rPr>
        <w:t> </w:t>
      </w:r>
      <w:r>
        <w:rPr/>
        <w:t>fomenten</w:t>
      </w:r>
      <w:r>
        <w:rPr>
          <w:spacing w:val="-4"/>
        </w:rPr>
        <w:t> </w:t>
      </w:r>
      <w:r>
        <w:rPr/>
        <w:t>una</w:t>
      </w:r>
      <w:r>
        <w:rPr>
          <w:spacing w:val="-4"/>
        </w:rPr>
        <w:t> </w:t>
      </w:r>
      <w:r>
        <w:rPr/>
        <w:t>cultura</w:t>
      </w:r>
      <w:r>
        <w:rPr>
          <w:spacing w:val="-1"/>
        </w:rPr>
        <w:t> </w:t>
      </w:r>
      <w:r>
        <w:rPr/>
        <w:t>de</w:t>
      </w:r>
      <w:r>
        <w:rPr>
          <w:spacing w:val="-4"/>
        </w:rPr>
        <w:t> </w:t>
      </w:r>
      <w:r>
        <w:rPr/>
        <w:t>prevención,</w:t>
      </w:r>
      <w:r>
        <w:rPr>
          <w:spacing w:val="-3"/>
        </w:rPr>
        <w:t> </w:t>
      </w:r>
      <w:r>
        <w:rPr/>
        <w:t>autoprotección,</w:t>
      </w:r>
      <w:r>
        <w:rPr>
          <w:spacing w:val="-3"/>
        </w:rPr>
        <w:t> </w:t>
      </w:r>
      <w:r>
        <w:rPr/>
        <w:t>denuncia ciudadana y solución de los conflictos a través de los medios de justicia alternativa, así como, el impulso de las actividades de las organizaciones de la sociedad civil.</w:t>
      </w:r>
    </w:p>
    <w:p>
      <w:pPr>
        <w:pStyle w:val="BodyText"/>
      </w:pPr>
    </w:p>
    <w:p>
      <w:pPr>
        <w:pStyle w:val="BodyText"/>
        <w:spacing w:before="1"/>
      </w:pPr>
    </w:p>
    <w:p>
      <w:pPr>
        <w:spacing w:line="229" w:lineRule="exact" w:before="0"/>
        <w:ind w:left="2636" w:right="263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 w:right="5"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CONSEJO</w:t>
      </w:r>
      <w:r>
        <w:rPr>
          <w:rFonts w:ascii="Arial" w:hAnsi="Arial"/>
          <w:b/>
          <w:spacing w:val="-7"/>
          <w:sz w:val="20"/>
        </w:rPr>
        <w:t> </w:t>
      </w:r>
      <w:r>
        <w:rPr>
          <w:rFonts w:ascii="Arial" w:hAnsi="Arial"/>
          <w:b/>
          <w:sz w:val="20"/>
        </w:rPr>
        <w:t>ESTATAL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PREVENCIÓN</w:t>
      </w:r>
      <w:r>
        <w:rPr>
          <w:rFonts w:ascii="Arial" w:hAnsi="Arial"/>
          <w:b/>
          <w:spacing w:val="-8"/>
          <w:sz w:val="20"/>
        </w:rPr>
        <w:t> </w:t>
      </w:r>
      <w:r>
        <w:rPr>
          <w:rFonts w:ascii="Arial" w:hAnsi="Arial"/>
          <w:b/>
          <w:sz w:val="20"/>
        </w:rPr>
        <w:t>DEL</w:t>
      </w:r>
      <w:r>
        <w:rPr>
          <w:rFonts w:ascii="Arial" w:hAnsi="Arial"/>
          <w:b/>
          <w:spacing w:val="-6"/>
          <w:sz w:val="20"/>
        </w:rPr>
        <w:t> </w:t>
      </w:r>
      <w:r>
        <w:rPr>
          <w:rFonts w:ascii="Arial" w:hAnsi="Arial"/>
          <w:b/>
          <w:spacing w:val="-2"/>
          <w:sz w:val="20"/>
        </w:rPr>
        <w:t>DELITO</w:t>
      </w:r>
    </w:p>
    <w:p>
      <w:pPr>
        <w:pStyle w:val="BodyText"/>
        <w:rPr>
          <w:rFonts w:ascii="Arial"/>
          <w:b/>
        </w:rPr>
      </w:pPr>
    </w:p>
    <w:p>
      <w:pPr>
        <w:pStyle w:val="BodyText"/>
        <w:spacing w:before="1"/>
        <w:ind w:left="118" w:right="118"/>
        <w:jc w:val="both"/>
      </w:pPr>
      <w:r>
        <w:rPr/>
        <w:t>Art. 6. El diseño, implementación, evaluación y supervisión de las políticas públicas en materia de prevención del delito estarán a cargo del Consejo Estatal de Prevención del Delito, órgano honorario integrado por:</w:t>
      </w:r>
    </w:p>
    <w:p>
      <w:pPr>
        <w:pStyle w:val="ListParagraph"/>
        <w:numPr>
          <w:ilvl w:val="0"/>
          <w:numId w:val="2"/>
        </w:numPr>
        <w:tabs>
          <w:tab w:pos="282" w:val="left" w:leader="none"/>
        </w:tabs>
        <w:spacing w:line="240" w:lineRule="auto" w:before="229" w:after="0"/>
        <w:ind w:left="282" w:right="0" w:hanging="164"/>
        <w:jc w:val="left"/>
        <w:rPr>
          <w:sz w:val="20"/>
        </w:rPr>
      </w:pPr>
      <w:r>
        <w:rPr>
          <w:sz w:val="20"/>
        </w:rPr>
        <w:t>El</w:t>
      </w:r>
      <w:r>
        <w:rPr>
          <w:spacing w:val="-8"/>
          <w:sz w:val="20"/>
        </w:rPr>
        <w:t> </w:t>
      </w:r>
      <w:r>
        <w:rPr>
          <w:sz w:val="20"/>
        </w:rPr>
        <w:t>Gobernador</w:t>
      </w:r>
      <w:r>
        <w:rPr>
          <w:spacing w:val="-5"/>
          <w:sz w:val="20"/>
        </w:rPr>
        <w:t> </w:t>
      </w:r>
      <w:r>
        <w:rPr>
          <w:sz w:val="20"/>
        </w:rPr>
        <w:t>del</w:t>
      </w:r>
      <w:r>
        <w:rPr>
          <w:spacing w:val="-6"/>
          <w:sz w:val="20"/>
        </w:rPr>
        <w:t> </w:t>
      </w:r>
      <w:r>
        <w:rPr>
          <w:sz w:val="20"/>
        </w:rPr>
        <w:t>Estado,</w:t>
      </w:r>
      <w:r>
        <w:rPr>
          <w:spacing w:val="-6"/>
          <w:sz w:val="20"/>
        </w:rPr>
        <w:t> </w:t>
      </w:r>
      <w:r>
        <w:rPr>
          <w:sz w:val="20"/>
        </w:rPr>
        <w:t>quien</w:t>
      </w:r>
      <w:r>
        <w:rPr>
          <w:spacing w:val="-6"/>
          <w:sz w:val="20"/>
        </w:rPr>
        <w:t> </w:t>
      </w:r>
      <w:r>
        <w:rPr>
          <w:sz w:val="20"/>
        </w:rPr>
        <w:t>lo</w:t>
      </w:r>
      <w:r>
        <w:rPr>
          <w:spacing w:val="-7"/>
          <w:sz w:val="20"/>
        </w:rPr>
        <w:t> </w:t>
      </w:r>
      <w:r>
        <w:rPr>
          <w:spacing w:val="-2"/>
          <w:sz w:val="20"/>
        </w:rPr>
        <w:t>presidirá;</w:t>
      </w:r>
    </w:p>
    <w:p>
      <w:pPr>
        <w:pStyle w:val="BodyText"/>
        <w:spacing w:before="1"/>
      </w:pPr>
    </w:p>
    <w:p>
      <w:pPr>
        <w:pStyle w:val="ListParagraph"/>
        <w:numPr>
          <w:ilvl w:val="0"/>
          <w:numId w:val="2"/>
        </w:numPr>
        <w:tabs>
          <w:tab w:pos="336" w:val="left" w:leader="none"/>
        </w:tabs>
        <w:spacing w:line="240" w:lineRule="auto" w:before="0" w:after="0"/>
        <w:ind w:left="336" w:right="0" w:hanging="218"/>
        <w:jc w:val="left"/>
        <w:rPr>
          <w:sz w:val="20"/>
        </w:rPr>
      </w:pPr>
      <w:r>
        <w:rPr>
          <w:sz w:val="20"/>
        </w:rPr>
        <w:t>El</w:t>
      </w:r>
      <w:r>
        <w:rPr>
          <w:spacing w:val="-7"/>
          <w:sz w:val="20"/>
        </w:rPr>
        <w:t> </w:t>
      </w:r>
      <w:r>
        <w:rPr>
          <w:sz w:val="20"/>
        </w:rPr>
        <w:t>Secretario</w:t>
      </w:r>
      <w:r>
        <w:rPr>
          <w:spacing w:val="-6"/>
          <w:sz w:val="20"/>
        </w:rPr>
        <w:t> </w:t>
      </w:r>
      <w:r>
        <w:rPr>
          <w:sz w:val="20"/>
        </w:rPr>
        <w:t>de</w:t>
      </w:r>
      <w:r>
        <w:rPr>
          <w:spacing w:val="-6"/>
          <w:sz w:val="20"/>
        </w:rPr>
        <w:t> </w:t>
      </w:r>
      <w:r>
        <w:rPr>
          <w:sz w:val="20"/>
        </w:rPr>
        <w:t>Gobierno</w:t>
      </w:r>
      <w:r>
        <w:rPr>
          <w:spacing w:val="-6"/>
          <w:sz w:val="20"/>
        </w:rPr>
        <w:t> </w:t>
      </w:r>
      <w:r>
        <w:rPr>
          <w:sz w:val="20"/>
        </w:rPr>
        <w:t>del</w:t>
      </w:r>
      <w:r>
        <w:rPr>
          <w:spacing w:val="-7"/>
          <w:sz w:val="20"/>
        </w:rPr>
        <w:t> </w:t>
      </w:r>
      <w:r>
        <w:rPr>
          <w:spacing w:val="-2"/>
          <w:sz w:val="20"/>
        </w:rPr>
        <w:t>Estado;</w:t>
      </w:r>
    </w:p>
    <w:p>
      <w:pPr>
        <w:pStyle w:val="BodyText"/>
      </w:pPr>
    </w:p>
    <w:p>
      <w:pPr>
        <w:pStyle w:val="ListParagraph"/>
        <w:numPr>
          <w:ilvl w:val="0"/>
          <w:numId w:val="2"/>
        </w:numPr>
        <w:tabs>
          <w:tab w:pos="394" w:val="left" w:leader="none"/>
        </w:tabs>
        <w:spacing w:line="240" w:lineRule="auto" w:before="1" w:after="0"/>
        <w:ind w:left="394" w:right="0" w:hanging="276"/>
        <w:jc w:val="left"/>
        <w:rPr>
          <w:sz w:val="20"/>
        </w:rPr>
      </w:pPr>
      <w:r>
        <w:rPr>
          <w:sz w:val="20"/>
        </w:rPr>
        <w:t>El</w:t>
      </w:r>
      <w:r>
        <w:rPr>
          <w:spacing w:val="-7"/>
          <w:sz w:val="20"/>
        </w:rPr>
        <w:t> </w:t>
      </w:r>
      <w:r>
        <w:rPr>
          <w:sz w:val="20"/>
        </w:rPr>
        <w:t>Secretario</w:t>
      </w:r>
      <w:r>
        <w:rPr>
          <w:spacing w:val="-7"/>
          <w:sz w:val="20"/>
        </w:rPr>
        <w:t> </w:t>
      </w:r>
      <w:r>
        <w:rPr>
          <w:sz w:val="20"/>
        </w:rPr>
        <w:t>de</w:t>
      </w:r>
      <w:r>
        <w:rPr>
          <w:spacing w:val="-7"/>
          <w:sz w:val="20"/>
        </w:rPr>
        <w:t> </w:t>
      </w:r>
      <w:r>
        <w:rPr>
          <w:sz w:val="20"/>
        </w:rPr>
        <w:t>Seguridad</w:t>
      </w:r>
      <w:r>
        <w:rPr>
          <w:spacing w:val="-8"/>
          <w:sz w:val="20"/>
        </w:rPr>
        <w:t> </w:t>
      </w:r>
      <w:r>
        <w:rPr>
          <w:sz w:val="20"/>
        </w:rPr>
        <w:t>Pública</w:t>
      </w:r>
      <w:r>
        <w:rPr>
          <w:spacing w:val="-6"/>
          <w:sz w:val="20"/>
        </w:rPr>
        <w:t> </w:t>
      </w:r>
      <w:r>
        <w:rPr>
          <w:sz w:val="20"/>
        </w:rPr>
        <w:t>del</w:t>
      </w:r>
      <w:r>
        <w:rPr>
          <w:spacing w:val="-8"/>
          <w:sz w:val="20"/>
        </w:rPr>
        <w:t> </w:t>
      </w:r>
      <w:r>
        <w:rPr>
          <w:spacing w:val="-2"/>
          <w:sz w:val="20"/>
        </w:rPr>
        <w:t>Estado;</w:t>
      </w:r>
    </w:p>
    <w:p>
      <w:pPr>
        <w:pStyle w:val="ListParagraph"/>
        <w:numPr>
          <w:ilvl w:val="0"/>
          <w:numId w:val="2"/>
        </w:numPr>
        <w:tabs>
          <w:tab w:pos="417" w:val="left" w:leader="none"/>
        </w:tabs>
        <w:spacing w:line="240" w:lineRule="auto" w:before="228" w:after="0"/>
        <w:ind w:left="417" w:right="0" w:hanging="299"/>
        <w:jc w:val="left"/>
        <w:rPr>
          <w:sz w:val="20"/>
        </w:rPr>
      </w:pPr>
      <w:r>
        <w:rPr>
          <w:sz w:val="20"/>
        </w:rPr>
        <w:t>El</w:t>
      </w:r>
      <w:r>
        <w:rPr>
          <w:spacing w:val="-7"/>
          <w:sz w:val="20"/>
        </w:rPr>
        <w:t> </w:t>
      </w:r>
      <w:r>
        <w:rPr>
          <w:sz w:val="20"/>
        </w:rPr>
        <w:t>Secretario</w:t>
      </w:r>
      <w:r>
        <w:rPr>
          <w:spacing w:val="-6"/>
          <w:sz w:val="20"/>
        </w:rPr>
        <w:t> </w:t>
      </w:r>
      <w:r>
        <w:rPr>
          <w:sz w:val="20"/>
        </w:rPr>
        <w:t>de</w:t>
      </w:r>
      <w:r>
        <w:rPr>
          <w:spacing w:val="-7"/>
          <w:sz w:val="20"/>
        </w:rPr>
        <w:t> </w:t>
      </w:r>
      <w:r>
        <w:rPr>
          <w:sz w:val="20"/>
        </w:rPr>
        <w:t>Educación</w:t>
      </w:r>
      <w:r>
        <w:rPr>
          <w:spacing w:val="-6"/>
          <w:sz w:val="20"/>
        </w:rPr>
        <w:t> </w:t>
      </w:r>
      <w:r>
        <w:rPr>
          <w:sz w:val="20"/>
        </w:rPr>
        <w:t>Pública</w:t>
      </w:r>
      <w:r>
        <w:rPr>
          <w:spacing w:val="-8"/>
          <w:sz w:val="20"/>
        </w:rPr>
        <w:t> </w:t>
      </w:r>
      <w:r>
        <w:rPr>
          <w:sz w:val="20"/>
        </w:rPr>
        <w:t>del</w:t>
      </w:r>
      <w:r>
        <w:rPr>
          <w:spacing w:val="-7"/>
          <w:sz w:val="20"/>
        </w:rPr>
        <w:t> </w:t>
      </w:r>
      <w:r>
        <w:rPr>
          <w:spacing w:val="-2"/>
          <w:sz w:val="20"/>
        </w:rPr>
        <w:t>Estado;</w:t>
      </w:r>
    </w:p>
    <w:p>
      <w:pPr>
        <w:pStyle w:val="BodyText"/>
        <w:spacing w:before="1"/>
      </w:pPr>
    </w:p>
    <w:p>
      <w:pPr>
        <w:pStyle w:val="ListParagraph"/>
        <w:numPr>
          <w:ilvl w:val="0"/>
          <w:numId w:val="2"/>
        </w:numPr>
        <w:tabs>
          <w:tab w:pos="359" w:val="left" w:leader="none"/>
        </w:tabs>
        <w:spacing w:line="240" w:lineRule="auto" w:before="0" w:after="0"/>
        <w:ind w:left="359" w:right="0" w:hanging="241"/>
        <w:jc w:val="left"/>
        <w:rPr>
          <w:sz w:val="20"/>
        </w:rPr>
      </w:pPr>
      <w:r>
        <w:rPr>
          <w:sz w:val="20"/>
        </w:rPr>
        <w:t>El</w:t>
      </w:r>
      <w:r>
        <w:rPr>
          <w:spacing w:val="-6"/>
          <w:sz w:val="20"/>
        </w:rPr>
        <w:t> </w:t>
      </w:r>
      <w:r>
        <w:rPr>
          <w:sz w:val="20"/>
        </w:rPr>
        <w:t>Secretario</w:t>
      </w:r>
      <w:r>
        <w:rPr>
          <w:spacing w:val="-6"/>
          <w:sz w:val="20"/>
        </w:rPr>
        <w:t> </w:t>
      </w:r>
      <w:r>
        <w:rPr>
          <w:sz w:val="20"/>
        </w:rPr>
        <w:t>de</w:t>
      </w:r>
      <w:r>
        <w:rPr>
          <w:spacing w:val="-4"/>
          <w:sz w:val="20"/>
        </w:rPr>
        <w:t> </w:t>
      </w:r>
      <w:r>
        <w:rPr>
          <w:sz w:val="20"/>
        </w:rPr>
        <w:t>Salud</w:t>
      </w:r>
      <w:r>
        <w:rPr>
          <w:spacing w:val="-2"/>
          <w:sz w:val="20"/>
        </w:rPr>
        <w:t> </w:t>
      </w:r>
      <w:r>
        <w:rPr>
          <w:sz w:val="20"/>
        </w:rPr>
        <w:t>del</w:t>
      </w:r>
      <w:r>
        <w:rPr>
          <w:spacing w:val="-5"/>
          <w:sz w:val="20"/>
        </w:rPr>
        <w:t> </w:t>
      </w:r>
      <w:r>
        <w:rPr>
          <w:spacing w:val="-2"/>
          <w:sz w:val="20"/>
        </w:rPr>
        <w:t>Estado;</w:t>
      </w:r>
    </w:p>
    <w:p>
      <w:pPr>
        <w:pStyle w:val="BodyText"/>
        <w:spacing w:before="1"/>
      </w:pPr>
    </w:p>
    <w:p>
      <w:pPr>
        <w:pStyle w:val="ListParagraph"/>
        <w:numPr>
          <w:ilvl w:val="0"/>
          <w:numId w:val="2"/>
        </w:numPr>
        <w:tabs>
          <w:tab w:pos="417" w:val="left" w:leader="none"/>
        </w:tabs>
        <w:spacing w:line="240" w:lineRule="auto" w:before="0" w:after="0"/>
        <w:ind w:left="417" w:right="0" w:hanging="299"/>
        <w:jc w:val="left"/>
        <w:rPr>
          <w:sz w:val="20"/>
        </w:rPr>
      </w:pPr>
      <w:r>
        <w:rPr>
          <w:sz w:val="20"/>
        </w:rPr>
        <w:t>El</w:t>
      </w:r>
      <w:r>
        <w:rPr>
          <w:spacing w:val="-6"/>
          <w:sz w:val="20"/>
        </w:rPr>
        <w:t> </w:t>
      </w:r>
      <w:r>
        <w:rPr>
          <w:sz w:val="20"/>
        </w:rPr>
        <w:t>Secretario</w:t>
      </w:r>
      <w:r>
        <w:rPr>
          <w:spacing w:val="-5"/>
          <w:sz w:val="20"/>
        </w:rPr>
        <w:t> </w:t>
      </w:r>
      <w:r>
        <w:rPr>
          <w:sz w:val="20"/>
        </w:rPr>
        <w:t>de</w:t>
      </w:r>
      <w:r>
        <w:rPr>
          <w:spacing w:val="-7"/>
          <w:sz w:val="20"/>
        </w:rPr>
        <w:t> </w:t>
      </w:r>
      <w:r>
        <w:rPr>
          <w:sz w:val="20"/>
        </w:rPr>
        <w:t>Desarrollo</w:t>
      </w:r>
      <w:r>
        <w:rPr>
          <w:spacing w:val="-7"/>
          <w:sz w:val="20"/>
        </w:rPr>
        <w:t> </w:t>
      </w:r>
      <w:r>
        <w:rPr>
          <w:sz w:val="20"/>
        </w:rPr>
        <w:t>Social</w:t>
      </w:r>
      <w:r>
        <w:rPr>
          <w:spacing w:val="-8"/>
          <w:sz w:val="20"/>
        </w:rPr>
        <w:t> </w:t>
      </w:r>
      <w:r>
        <w:rPr>
          <w:sz w:val="20"/>
        </w:rPr>
        <w:t>del</w:t>
      </w:r>
      <w:r>
        <w:rPr>
          <w:spacing w:val="-6"/>
          <w:sz w:val="20"/>
        </w:rPr>
        <w:t> </w:t>
      </w:r>
      <w:r>
        <w:rPr>
          <w:spacing w:val="-2"/>
          <w:sz w:val="20"/>
        </w:rPr>
        <w:t>Estado;</w:t>
      </w:r>
    </w:p>
    <w:p>
      <w:pPr>
        <w:pStyle w:val="ListParagraph"/>
        <w:numPr>
          <w:ilvl w:val="0"/>
          <w:numId w:val="2"/>
        </w:numPr>
        <w:tabs>
          <w:tab w:pos="472" w:val="left" w:leader="none"/>
        </w:tabs>
        <w:spacing w:line="240" w:lineRule="auto" w:before="228" w:after="0"/>
        <w:ind w:left="472" w:right="0" w:hanging="354"/>
        <w:jc w:val="left"/>
        <w:rPr>
          <w:sz w:val="20"/>
        </w:rPr>
      </w:pPr>
      <w:r>
        <w:rPr>
          <w:sz w:val="20"/>
        </w:rPr>
        <w:t>El</w:t>
      </w:r>
      <w:r>
        <w:rPr>
          <w:spacing w:val="-7"/>
          <w:sz w:val="20"/>
        </w:rPr>
        <w:t> </w:t>
      </w:r>
      <w:r>
        <w:rPr>
          <w:sz w:val="20"/>
        </w:rPr>
        <w:t>Procurador</w:t>
      </w:r>
      <w:r>
        <w:rPr>
          <w:spacing w:val="-6"/>
          <w:sz w:val="20"/>
        </w:rPr>
        <w:t> </w:t>
      </w:r>
      <w:r>
        <w:rPr>
          <w:sz w:val="20"/>
        </w:rPr>
        <w:t>General</w:t>
      </w:r>
      <w:r>
        <w:rPr>
          <w:spacing w:val="-4"/>
          <w:sz w:val="20"/>
        </w:rPr>
        <w:t> </w:t>
      </w:r>
      <w:r>
        <w:rPr>
          <w:sz w:val="20"/>
        </w:rPr>
        <w:t>de</w:t>
      </w:r>
      <w:r>
        <w:rPr>
          <w:spacing w:val="-8"/>
          <w:sz w:val="20"/>
        </w:rPr>
        <w:t> </w:t>
      </w:r>
      <w:r>
        <w:rPr>
          <w:sz w:val="20"/>
        </w:rPr>
        <w:t>Justicia</w:t>
      </w:r>
      <w:r>
        <w:rPr>
          <w:spacing w:val="-7"/>
          <w:sz w:val="20"/>
        </w:rPr>
        <w:t> </w:t>
      </w:r>
      <w:r>
        <w:rPr>
          <w:sz w:val="20"/>
        </w:rPr>
        <w:t>del</w:t>
      </w:r>
      <w:r>
        <w:rPr>
          <w:spacing w:val="-7"/>
          <w:sz w:val="20"/>
        </w:rPr>
        <w:t> </w:t>
      </w:r>
      <w:r>
        <w:rPr>
          <w:spacing w:val="-2"/>
          <w:sz w:val="20"/>
        </w:rPr>
        <w:t>Estado;</w:t>
      </w:r>
    </w:p>
    <w:p>
      <w:pPr>
        <w:pStyle w:val="BodyText"/>
        <w:spacing w:before="1"/>
      </w:pPr>
    </w:p>
    <w:p>
      <w:pPr>
        <w:pStyle w:val="ListParagraph"/>
        <w:numPr>
          <w:ilvl w:val="0"/>
          <w:numId w:val="2"/>
        </w:numPr>
        <w:tabs>
          <w:tab w:pos="527" w:val="left" w:leader="none"/>
        </w:tabs>
        <w:spacing w:line="240" w:lineRule="auto" w:before="0" w:after="0"/>
        <w:ind w:left="527" w:right="0" w:hanging="409"/>
        <w:jc w:val="left"/>
        <w:rPr>
          <w:sz w:val="20"/>
        </w:rPr>
      </w:pPr>
      <w:r>
        <w:rPr>
          <w:sz w:val="20"/>
        </w:rPr>
        <w:t>La</w:t>
      </w:r>
      <w:r>
        <w:rPr>
          <w:spacing w:val="-6"/>
          <w:sz w:val="20"/>
        </w:rPr>
        <w:t> </w:t>
      </w:r>
      <w:r>
        <w:rPr>
          <w:sz w:val="20"/>
        </w:rPr>
        <w:t>Presidenta</w:t>
      </w:r>
      <w:r>
        <w:rPr>
          <w:spacing w:val="-6"/>
          <w:sz w:val="20"/>
        </w:rPr>
        <w:t> </w:t>
      </w:r>
      <w:r>
        <w:rPr>
          <w:sz w:val="20"/>
        </w:rPr>
        <w:t>del</w:t>
      </w:r>
      <w:r>
        <w:rPr>
          <w:spacing w:val="-6"/>
          <w:sz w:val="20"/>
        </w:rPr>
        <w:t> </w:t>
      </w:r>
      <w:r>
        <w:rPr>
          <w:sz w:val="20"/>
        </w:rPr>
        <w:t>Sistema</w:t>
      </w:r>
      <w:r>
        <w:rPr>
          <w:spacing w:val="-6"/>
          <w:sz w:val="20"/>
        </w:rPr>
        <w:t> </w:t>
      </w:r>
      <w:r>
        <w:rPr>
          <w:sz w:val="20"/>
        </w:rPr>
        <w:t>DIF</w:t>
      </w:r>
      <w:r>
        <w:rPr>
          <w:spacing w:val="-6"/>
          <w:sz w:val="20"/>
        </w:rPr>
        <w:t> </w:t>
      </w:r>
      <w:r>
        <w:rPr>
          <w:spacing w:val="-2"/>
          <w:sz w:val="20"/>
        </w:rPr>
        <w:t>Hidalgo;</w:t>
      </w:r>
    </w:p>
    <w:p>
      <w:pPr>
        <w:pStyle w:val="BodyText"/>
        <w:spacing w:before="1"/>
      </w:pPr>
    </w:p>
    <w:p>
      <w:pPr>
        <w:pStyle w:val="ListParagraph"/>
        <w:numPr>
          <w:ilvl w:val="0"/>
          <w:numId w:val="2"/>
        </w:numPr>
        <w:tabs>
          <w:tab w:pos="417" w:val="left" w:leader="none"/>
        </w:tabs>
        <w:spacing w:line="240" w:lineRule="auto" w:before="0" w:after="0"/>
        <w:ind w:left="417" w:right="0" w:hanging="299"/>
        <w:jc w:val="left"/>
        <w:rPr>
          <w:sz w:val="20"/>
        </w:rPr>
      </w:pPr>
      <w:r>
        <w:rPr>
          <w:sz w:val="20"/>
        </w:rPr>
        <w:t>El</w:t>
      </w:r>
      <w:r>
        <w:rPr>
          <w:spacing w:val="-5"/>
          <w:sz w:val="20"/>
        </w:rPr>
        <w:t> </w:t>
      </w:r>
      <w:r>
        <w:rPr>
          <w:sz w:val="20"/>
        </w:rPr>
        <w:t>Procurador</w:t>
      </w:r>
      <w:r>
        <w:rPr>
          <w:spacing w:val="-6"/>
          <w:sz w:val="20"/>
        </w:rPr>
        <w:t> </w:t>
      </w:r>
      <w:r>
        <w:rPr>
          <w:sz w:val="20"/>
        </w:rPr>
        <w:t>de</w:t>
      </w:r>
      <w:r>
        <w:rPr>
          <w:spacing w:val="-4"/>
          <w:sz w:val="20"/>
        </w:rPr>
        <w:t> </w:t>
      </w:r>
      <w:r>
        <w:rPr>
          <w:sz w:val="20"/>
        </w:rPr>
        <w:t>la</w:t>
      </w:r>
      <w:r>
        <w:rPr>
          <w:spacing w:val="-2"/>
          <w:sz w:val="20"/>
        </w:rPr>
        <w:t> </w:t>
      </w:r>
      <w:r>
        <w:rPr>
          <w:sz w:val="20"/>
        </w:rPr>
        <w:t>Defensa</w:t>
      </w:r>
      <w:r>
        <w:rPr>
          <w:spacing w:val="-6"/>
          <w:sz w:val="20"/>
        </w:rPr>
        <w:t> </w:t>
      </w:r>
      <w:r>
        <w:rPr>
          <w:sz w:val="20"/>
        </w:rPr>
        <w:t>del</w:t>
      </w:r>
      <w:r>
        <w:rPr>
          <w:spacing w:val="-5"/>
          <w:sz w:val="20"/>
        </w:rPr>
        <w:t> </w:t>
      </w:r>
      <w:r>
        <w:rPr>
          <w:sz w:val="20"/>
        </w:rPr>
        <w:t>Menor</w:t>
      </w:r>
      <w:r>
        <w:rPr>
          <w:spacing w:val="-6"/>
          <w:sz w:val="20"/>
        </w:rPr>
        <w:t> </w:t>
      </w:r>
      <w:r>
        <w:rPr>
          <w:sz w:val="20"/>
        </w:rPr>
        <w:t>y</w:t>
      </w:r>
      <w:r>
        <w:rPr>
          <w:spacing w:val="-4"/>
          <w:sz w:val="20"/>
        </w:rPr>
        <w:t> </w:t>
      </w:r>
      <w:r>
        <w:rPr>
          <w:sz w:val="20"/>
        </w:rPr>
        <w:t>la</w:t>
      </w:r>
      <w:r>
        <w:rPr>
          <w:spacing w:val="-5"/>
          <w:sz w:val="20"/>
        </w:rPr>
        <w:t> </w:t>
      </w:r>
      <w:r>
        <w:rPr>
          <w:spacing w:val="-2"/>
          <w:sz w:val="20"/>
        </w:rPr>
        <w:t>Familia;</w:t>
      </w:r>
    </w:p>
    <w:p>
      <w:pPr>
        <w:pStyle w:val="ListParagraph"/>
        <w:numPr>
          <w:ilvl w:val="0"/>
          <w:numId w:val="2"/>
        </w:numPr>
        <w:tabs>
          <w:tab w:pos="359" w:val="left" w:leader="none"/>
        </w:tabs>
        <w:spacing w:line="240" w:lineRule="auto" w:before="229" w:after="0"/>
        <w:ind w:left="359" w:right="0" w:hanging="241"/>
        <w:jc w:val="left"/>
        <w:rPr>
          <w:sz w:val="20"/>
        </w:rPr>
      </w:pPr>
      <w:r>
        <w:rPr>
          <w:sz w:val="20"/>
        </w:rPr>
        <w:t>Un</w:t>
      </w:r>
      <w:r>
        <w:rPr>
          <w:spacing w:val="-4"/>
          <w:sz w:val="20"/>
        </w:rPr>
        <w:t> </w:t>
      </w:r>
      <w:r>
        <w:rPr>
          <w:sz w:val="20"/>
        </w:rPr>
        <w:t>Diputado</w:t>
      </w:r>
      <w:r>
        <w:rPr>
          <w:spacing w:val="-5"/>
          <w:sz w:val="20"/>
        </w:rPr>
        <w:t> </w:t>
      </w:r>
      <w:r>
        <w:rPr>
          <w:sz w:val="20"/>
        </w:rPr>
        <w:t>del</w:t>
      </w:r>
      <w:r>
        <w:rPr>
          <w:spacing w:val="-6"/>
          <w:sz w:val="20"/>
        </w:rPr>
        <w:t> </w:t>
      </w:r>
      <w:r>
        <w:rPr>
          <w:sz w:val="20"/>
        </w:rPr>
        <w:t>H.</w:t>
      </w:r>
      <w:r>
        <w:rPr>
          <w:spacing w:val="-6"/>
          <w:sz w:val="20"/>
        </w:rPr>
        <w:t> </w:t>
      </w:r>
      <w:r>
        <w:rPr>
          <w:sz w:val="20"/>
        </w:rPr>
        <w:t>Congreso</w:t>
      </w:r>
      <w:r>
        <w:rPr>
          <w:spacing w:val="-5"/>
          <w:sz w:val="20"/>
        </w:rPr>
        <w:t> </w:t>
      </w:r>
      <w:r>
        <w:rPr>
          <w:sz w:val="20"/>
        </w:rPr>
        <w:t>del</w:t>
      </w:r>
      <w:r>
        <w:rPr>
          <w:spacing w:val="-5"/>
          <w:sz w:val="20"/>
        </w:rPr>
        <w:t> </w:t>
      </w:r>
      <w:r>
        <w:rPr>
          <w:spacing w:val="-2"/>
          <w:sz w:val="20"/>
        </w:rPr>
        <w:t>Estado;</w:t>
      </w:r>
    </w:p>
    <w:p>
      <w:pPr>
        <w:pStyle w:val="BodyText"/>
      </w:pPr>
    </w:p>
    <w:p>
      <w:pPr>
        <w:pStyle w:val="ListParagraph"/>
        <w:numPr>
          <w:ilvl w:val="0"/>
          <w:numId w:val="2"/>
        </w:numPr>
        <w:tabs>
          <w:tab w:pos="415" w:val="left" w:leader="none"/>
        </w:tabs>
        <w:spacing w:line="240" w:lineRule="auto" w:before="0" w:after="0"/>
        <w:ind w:left="415" w:right="0" w:hanging="297"/>
        <w:jc w:val="left"/>
        <w:rPr>
          <w:sz w:val="20"/>
        </w:rPr>
      </w:pPr>
      <w:r>
        <w:rPr>
          <w:sz w:val="20"/>
        </w:rPr>
        <w:t>Un</w:t>
      </w:r>
      <w:r>
        <w:rPr>
          <w:spacing w:val="-8"/>
          <w:sz w:val="20"/>
        </w:rPr>
        <w:t> </w:t>
      </w:r>
      <w:r>
        <w:rPr>
          <w:sz w:val="20"/>
        </w:rPr>
        <w:t>Magistrado</w:t>
      </w:r>
      <w:r>
        <w:rPr>
          <w:spacing w:val="-6"/>
          <w:sz w:val="20"/>
        </w:rPr>
        <w:t> </w:t>
      </w:r>
      <w:r>
        <w:rPr>
          <w:sz w:val="20"/>
        </w:rPr>
        <w:t>del</w:t>
      </w:r>
      <w:r>
        <w:rPr>
          <w:spacing w:val="-6"/>
          <w:sz w:val="20"/>
        </w:rPr>
        <w:t> </w:t>
      </w:r>
      <w:r>
        <w:rPr>
          <w:sz w:val="20"/>
        </w:rPr>
        <w:t>Tribunal</w:t>
      </w:r>
      <w:r>
        <w:rPr>
          <w:spacing w:val="-6"/>
          <w:sz w:val="20"/>
        </w:rPr>
        <w:t> </w:t>
      </w:r>
      <w:r>
        <w:rPr>
          <w:sz w:val="20"/>
        </w:rPr>
        <w:t>Superior</w:t>
      </w:r>
      <w:r>
        <w:rPr>
          <w:spacing w:val="-8"/>
          <w:sz w:val="20"/>
        </w:rPr>
        <w:t> </w:t>
      </w:r>
      <w:r>
        <w:rPr>
          <w:sz w:val="20"/>
        </w:rPr>
        <w:t>de</w:t>
      </w:r>
      <w:r>
        <w:rPr>
          <w:spacing w:val="-7"/>
          <w:sz w:val="20"/>
        </w:rPr>
        <w:t> </w:t>
      </w:r>
      <w:r>
        <w:rPr>
          <w:sz w:val="20"/>
        </w:rPr>
        <w:t>Justicia</w:t>
      </w:r>
      <w:r>
        <w:rPr>
          <w:spacing w:val="-5"/>
          <w:sz w:val="20"/>
        </w:rPr>
        <w:t> </w:t>
      </w:r>
      <w:r>
        <w:rPr>
          <w:sz w:val="20"/>
        </w:rPr>
        <w:t>del</w:t>
      </w:r>
      <w:r>
        <w:rPr>
          <w:spacing w:val="-1"/>
          <w:sz w:val="20"/>
        </w:rPr>
        <w:t> </w:t>
      </w:r>
      <w:r>
        <w:rPr>
          <w:spacing w:val="-2"/>
          <w:sz w:val="20"/>
        </w:rPr>
        <w:t>Estado;</w:t>
      </w:r>
    </w:p>
    <w:p>
      <w:pPr>
        <w:pStyle w:val="BodyText"/>
        <w:spacing w:before="2"/>
      </w:pPr>
    </w:p>
    <w:p>
      <w:pPr>
        <w:pStyle w:val="ListParagraph"/>
        <w:numPr>
          <w:ilvl w:val="0"/>
          <w:numId w:val="2"/>
        </w:numPr>
        <w:tabs>
          <w:tab w:pos="472" w:val="left" w:leader="none"/>
        </w:tabs>
        <w:spacing w:line="240" w:lineRule="auto" w:before="0" w:after="0"/>
        <w:ind w:left="472" w:right="0" w:hanging="354"/>
        <w:jc w:val="left"/>
        <w:rPr>
          <w:sz w:val="20"/>
        </w:rPr>
      </w:pPr>
      <w:r>
        <w:rPr>
          <w:sz w:val="20"/>
        </w:rPr>
        <w:t>El</w:t>
      </w:r>
      <w:r>
        <w:rPr>
          <w:spacing w:val="-8"/>
          <w:sz w:val="20"/>
        </w:rPr>
        <w:t> </w:t>
      </w:r>
      <w:r>
        <w:rPr>
          <w:sz w:val="20"/>
        </w:rPr>
        <w:t>Presidente</w:t>
      </w:r>
      <w:r>
        <w:rPr>
          <w:spacing w:val="-8"/>
          <w:sz w:val="20"/>
        </w:rPr>
        <w:t> </w:t>
      </w:r>
      <w:r>
        <w:rPr>
          <w:sz w:val="20"/>
        </w:rPr>
        <w:t>Municipal</w:t>
      </w:r>
      <w:r>
        <w:rPr>
          <w:spacing w:val="-8"/>
          <w:sz w:val="20"/>
        </w:rPr>
        <w:t> </w:t>
      </w:r>
      <w:r>
        <w:rPr>
          <w:sz w:val="20"/>
        </w:rPr>
        <w:t>de</w:t>
      </w:r>
      <w:r>
        <w:rPr>
          <w:spacing w:val="-7"/>
          <w:sz w:val="20"/>
        </w:rPr>
        <w:t> </w:t>
      </w:r>
      <w:r>
        <w:rPr>
          <w:sz w:val="20"/>
        </w:rPr>
        <w:t>Pachuca;</w:t>
      </w:r>
      <w:r>
        <w:rPr>
          <w:spacing w:val="-6"/>
          <w:sz w:val="20"/>
        </w:rPr>
        <w:t> </w:t>
      </w:r>
      <w:r>
        <w:rPr>
          <w:spacing w:val="-10"/>
          <w:sz w:val="20"/>
        </w:rPr>
        <w:t>y</w:t>
      </w:r>
    </w:p>
    <w:p>
      <w:pPr>
        <w:pStyle w:val="ListParagraph"/>
        <w:numPr>
          <w:ilvl w:val="0"/>
          <w:numId w:val="2"/>
        </w:numPr>
        <w:tabs>
          <w:tab w:pos="527" w:val="left" w:leader="none"/>
        </w:tabs>
        <w:spacing w:line="240" w:lineRule="auto" w:before="228" w:after="0"/>
        <w:ind w:left="527" w:right="0" w:hanging="409"/>
        <w:jc w:val="left"/>
        <w:rPr>
          <w:sz w:val="20"/>
        </w:rPr>
      </w:pPr>
      <w:r>
        <w:rPr>
          <w:sz w:val="20"/>
        </w:rPr>
        <w:t>Un</w:t>
      </w:r>
      <w:r>
        <w:rPr>
          <w:spacing w:val="-9"/>
          <w:sz w:val="20"/>
        </w:rPr>
        <w:t> </w:t>
      </w:r>
      <w:r>
        <w:rPr>
          <w:sz w:val="20"/>
        </w:rPr>
        <w:t>representante</w:t>
      </w:r>
      <w:r>
        <w:rPr>
          <w:spacing w:val="-9"/>
          <w:sz w:val="20"/>
        </w:rPr>
        <w:t> </w:t>
      </w:r>
      <w:r>
        <w:rPr>
          <w:sz w:val="20"/>
        </w:rPr>
        <w:t>del</w:t>
      </w:r>
      <w:r>
        <w:rPr>
          <w:spacing w:val="-8"/>
          <w:sz w:val="20"/>
        </w:rPr>
        <w:t> </w:t>
      </w:r>
      <w:r>
        <w:rPr>
          <w:sz w:val="20"/>
        </w:rPr>
        <w:t>Consejo</w:t>
      </w:r>
      <w:r>
        <w:rPr>
          <w:spacing w:val="-9"/>
          <w:sz w:val="20"/>
        </w:rPr>
        <w:t> </w:t>
      </w:r>
      <w:r>
        <w:rPr>
          <w:sz w:val="20"/>
        </w:rPr>
        <w:t>Consultivo</w:t>
      </w:r>
      <w:r>
        <w:rPr>
          <w:spacing w:val="-9"/>
          <w:sz w:val="20"/>
        </w:rPr>
        <w:t> </w:t>
      </w:r>
      <w:r>
        <w:rPr>
          <w:spacing w:val="-2"/>
          <w:sz w:val="20"/>
        </w:rPr>
        <w:t>Ciudadano.</w:t>
      </w:r>
    </w:p>
    <w:p>
      <w:pPr>
        <w:pStyle w:val="BodyText"/>
        <w:spacing w:before="1"/>
      </w:pPr>
    </w:p>
    <w:p>
      <w:pPr>
        <w:pStyle w:val="BodyText"/>
        <w:ind w:left="118"/>
      </w:pPr>
      <w:r>
        <w:rPr/>
        <w:t>El</w:t>
      </w:r>
      <w:r>
        <w:rPr>
          <w:spacing w:val="-3"/>
        </w:rPr>
        <w:t> </w:t>
      </w:r>
      <w:r>
        <w:rPr/>
        <w:t>Presidente</w:t>
      </w:r>
      <w:r>
        <w:rPr>
          <w:spacing w:val="-4"/>
        </w:rPr>
        <w:t> </w:t>
      </w:r>
      <w:r>
        <w:rPr/>
        <w:t>del</w:t>
      </w:r>
      <w:r>
        <w:rPr>
          <w:spacing w:val="-5"/>
        </w:rPr>
        <w:t> </w:t>
      </w:r>
      <w:r>
        <w:rPr/>
        <w:t>Consejo</w:t>
      </w:r>
      <w:r>
        <w:rPr>
          <w:spacing w:val="-2"/>
        </w:rPr>
        <w:t> </w:t>
      </w:r>
      <w:r>
        <w:rPr/>
        <w:t>será</w:t>
      </w:r>
      <w:r>
        <w:rPr>
          <w:spacing w:val="-4"/>
        </w:rPr>
        <w:t> </w:t>
      </w:r>
      <w:r>
        <w:rPr/>
        <w:t>suplido</w:t>
      </w:r>
      <w:r>
        <w:rPr>
          <w:spacing w:val="-2"/>
        </w:rPr>
        <w:t> </w:t>
      </w:r>
      <w:r>
        <w:rPr/>
        <w:t>en</w:t>
      </w:r>
      <w:r>
        <w:rPr>
          <w:spacing w:val="-5"/>
        </w:rPr>
        <w:t> </w:t>
      </w:r>
      <w:r>
        <w:rPr/>
        <w:t>sus</w:t>
      </w:r>
      <w:r>
        <w:rPr>
          <w:spacing w:val="-1"/>
        </w:rPr>
        <w:t> </w:t>
      </w:r>
      <w:r>
        <w:rPr/>
        <w:t>ausencias por</w:t>
      </w:r>
      <w:r>
        <w:rPr>
          <w:spacing w:val="-1"/>
        </w:rPr>
        <w:t> </w:t>
      </w:r>
      <w:r>
        <w:rPr/>
        <w:t>el</w:t>
      </w:r>
      <w:r>
        <w:rPr>
          <w:spacing w:val="-3"/>
        </w:rPr>
        <w:t> </w:t>
      </w:r>
      <w:r>
        <w:rPr/>
        <w:t>Secretario</w:t>
      </w:r>
      <w:r>
        <w:rPr>
          <w:spacing w:val="-3"/>
        </w:rPr>
        <w:t> </w:t>
      </w:r>
      <w:r>
        <w:rPr/>
        <w:t>de</w:t>
      </w:r>
      <w:r>
        <w:rPr>
          <w:spacing w:val="-5"/>
        </w:rPr>
        <w:t> </w:t>
      </w:r>
      <w:r>
        <w:rPr/>
        <w:t>Gobierno.</w:t>
      </w:r>
      <w:r>
        <w:rPr>
          <w:spacing w:val="-4"/>
        </w:rPr>
        <w:t> </w:t>
      </w:r>
      <w:r>
        <w:rPr/>
        <w:t>Los</w:t>
      </w:r>
      <w:r>
        <w:rPr>
          <w:spacing w:val="-3"/>
        </w:rPr>
        <w:t> </w:t>
      </w:r>
      <w:r>
        <w:rPr/>
        <w:t>demás integrantes del Consejo Estatal deberán asistir personalmente.</w:t>
      </w:r>
    </w:p>
    <w:p>
      <w:pPr>
        <w:pStyle w:val="BodyText"/>
        <w:spacing w:before="229"/>
        <w:ind w:left="118" w:right="149"/>
      </w:pPr>
      <w:r>
        <w:rPr/>
        <w:t>Asimismo,</w:t>
      </w:r>
      <w:r>
        <w:rPr>
          <w:spacing w:val="80"/>
          <w:w w:val="150"/>
        </w:rPr>
        <w:t> </w:t>
      </w:r>
      <w:r>
        <w:rPr/>
        <w:t>el</w:t>
      </w:r>
      <w:r>
        <w:rPr>
          <w:spacing w:val="80"/>
          <w:w w:val="150"/>
        </w:rPr>
        <w:t> </w:t>
      </w:r>
      <w:r>
        <w:rPr/>
        <w:t>presidente</w:t>
      </w:r>
      <w:r>
        <w:rPr>
          <w:spacing w:val="80"/>
          <w:w w:val="150"/>
        </w:rPr>
        <w:t> </w:t>
      </w:r>
      <w:r>
        <w:rPr/>
        <w:t>de</w:t>
      </w:r>
      <w:r>
        <w:rPr>
          <w:spacing w:val="80"/>
          <w:w w:val="150"/>
        </w:rPr>
        <w:t> </w:t>
      </w:r>
      <w:r>
        <w:rPr/>
        <w:t>la</w:t>
      </w:r>
      <w:r>
        <w:rPr>
          <w:spacing w:val="80"/>
          <w:w w:val="150"/>
        </w:rPr>
        <w:t> </w:t>
      </w:r>
      <w:r>
        <w:rPr/>
        <w:t>Comisión</w:t>
      </w:r>
      <w:r>
        <w:rPr>
          <w:spacing w:val="80"/>
          <w:w w:val="150"/>
        </w:rPr>
        <w:t> </w:t>
      </w:r>
      <w:r>
        <w:rPr/>
        <w:t>de</w:t>
      </w:r>
      <w:r>
        <w:rPr>
          <w:spacing w:val="80"/>
          <w:w w:val="150"/>
        </w:rPr>
        <w:t> </w:t>
      </w:r>
      <w:r>
        <w:rPr/>
        <w:t>Derechos</w:t>
      </w:r>
      <w:r>
        <w:rPr>
          <w:spacing w:val="80"/>
          <w:w w:val="150"/>
        </w:rPr>
        <w:t> </w:t>
      </w:r>
      <w:r>
        <w:rPr/>
        <w:t>Humanos</w:t>
      </w:r>
      <w:r>
        <w:rPr>
          <w:spacing w:val="80"/>
          <w:w w:val="150"/>
        </w:rPr>
        <w:t> </w:t>
      </w:r>
      <w:r>
        <w:rPr/>
        <w:t>del</w:t>
      </w:r>
      <w:r>
        <w:rPr>
          <w:spacing w:val="80"/>
          <w:w w:val="150"/>
        </w:rPr>
        <w:t> </w:t>
      </w:r>
      <w:r>
        <w:rPr/>
        <w:t>Estado</w:t>
      </w:r>
      <w:r>
        <w:rPr>
          <w:spacing w:val="80"/>
          <w:w w:val="150"/>
        </w:rPr>
        <w:t> </w:t>
      </w:r>
      <w:r>
        <w:rPr/>
        <w:t>será</w:t>
      </w:r>
      <w:r>
        <w:rPr>
          <w:spacing w:val="80"/>
          <w:w w:val="150"/>
        </w:rPr>
        <w:t> </w:t>
      </w:r>
      <w:r>
        <w:rPr/>
        <w:t>invitado</w:t>
      </w:r>
      <w:r>
        <w:rPr>
          <w:spacing w:val="80"/>
        </w:rPr>
        <w:t> </w:t>
      </w:r>
      <w:r>
        <w:rPr>
          <w:spacing w:val="-2"/>
        </w:rPr>
        <w:t>permanentemente.</w:t>
      </w:r>
    </w:p>
    <w:p>
      <w:pPr>
        <w:spacing w:after="0"/>
        <w:sectPr>
          <w:pgSz w:w="12250" w:h="15820"/>
          <w:pgMar w:header="0" w:footer="928" w:top="1680" w:bottom="1120" w:left="1300" w:right="1300"/>
        </w:sectPr>
      </w:pPr>
    </w:p>
    <w:p>
      <w:pPr>
        <w:pStyle w:val="BodyText"/>
        <w:spacing w:before="4"/>
      </w:pPr>
    </w:p>
    <w:p>
      <w:pPr>
        <w:pStyle w:val="BodyText"/>
        <w:ind w:left="118" w:right="116"/>
        <w:jc w:val="both"/>
      </w:pPr>
      <w:r>
        <w:rPr/>
        <w:t>Art. 7. El consejo contará con un secretario técnico con experiencia de por lo menos dos años, en áreas de investigación, consultoría o docencia, que será nombrado y removido por su presidente, y tendrá las siguientes atribuciones:</w:t>
      </w:r>
    </w:p>
    <w:p>
      <w:pPr>
        <w:pStyle w:val="BodyText"/>
        <w:spacing w:before="2"/>
      </w:pPr>
    </w:p>
    <w:p>
      <w:pPr>
        <w:pStyle w:val="ListParagraph"/>
        <w:numPr>
          <w:ilvl w:val="0"/>
          <w:numId w:val="3"/>
        </w:numPr>
        <w:tabs>
          <w:tab w:pos="337" w:val="left" w:leader="none"/>
        </w:tabs>
        <w:spacing w:line="240" w:lineRule="auto" w:before="0" w:after="0"/>
        <w:ind w:left="337" w:right="0" w:hanging="219"/>
        <w:jc w:val="left"/>
        <w:rPr>
          <w:sz w:val="20"/>
        </w:rPr>
      </w:pPr>
      <w:r>
        <w:rPr>
          <w:sz w:val="20"/>
        </w:rPr>
        <w:t>Apoyar</w:t>
      </w:r>
      <w:r>
        <w:rPr>
          <w:spacing w:val="-7"/>
          <w:sz w:val="20"/>
        </w:rPr>
        <w:t> </w:t>
      </w:r>
      <w:r>
        <w:rPr>
          <w:sz w:val="20"/>
        </w:rPr>
        <w:t>los</w:t>
      </w:r>
      <w:r>
        <w:rPr>
          <w:spacing w:val="-6"/>
          <w:sz w:val="20"/>
        </w:rPr>
        <w:t> </w:t>
      </w:r>
      <w:r>
        <w:rPr>
          <w:sz w:val="20"/>
        </w:rPr>
        <w:t>trabajos</w:t>
      </w:r>
      <w:r>
        <w:rPr>
          <w:spacing w:val="-5"/>
          <w:sz w:val="20"/>
        </w:rPr>
        <w:t> </w:t>
      </w:r>
      <w:r>
        <w:rPr>
          <w:sz w:val="20"/>
        </w:rPr>
        <w:t>del</w:t>
      </w:r>
      <w:r>
        <w:rPr>
          <w:spacing w:val="-1"/>
          <w:sz w:val="20"/>
        </w:rPr>
        <w:t> </w:t>
      </w:r>
      <w:r>
        <w:rPr>
          <w:spacing w:val="-2"/>
          <w:sz w:val="20"/>
        </w:rPr>
        <w:t>Consejo;</w:t>
      </w:r>
    </w:p>
    <w:p>
      <w:pPr>
        <w:pStyle w:val="ListParagraph"/>
        <w:numPr>
          <w:ilvl w:val="0"/>
          <w:numId w:val="3"/>
        </w:numPr>
        <w:tabs>
          <w:tab w:pos="338" w:val="left" w:leader="none"/>
        </w:tabs>
        <w:spacing w:line="240" w:lineRule="auto" w:before="228" w:after="0"/>
        <w:ind w:left="338" w:right="0" w:hanging="220"/>
        <w:jc w:val="left"/>
        <w:rPr>
          <w:sz w:val="20"/>
        </w:rPr>
      </w:pPr>
      <w:r>
        <w:rPr>
          <w:sz w:val="20"/>
        </w:rPr>
        <w:t>Elaborar</w:t>
      </w:r>
      <w:r>
        <w:rPr>
          <w:spacing w:val="-4"/>
          <w:sz w:val="20"/>
        </w:rPr>
        <w:t> </w:t>
      </w:r>
      <w:r>
        <w:rPr>
          <w:sz w:val="20"/>
        </w:rPr>
        <w:t>las</w:t>
      </w:r>
      <w:r>
        <w:rPr>
          <w:spacing w:val="-4"/>
          <w:sz w:val="20"/>
        </w:rPr>
        <w:t> </w:t>
      </w:r>
      <w:r>
        <w:rPr>
          <w:sz w:val="20"/>
        </w:rPr>
        <w:t>actas</w:t>
      </w:r>
      <w:r>
        <w:rPr>
          <w:spacing w:val="-4"/>
          <w:sz w:val="20"/>
        </w:rPr>
        <w:t> </w:t>
      </w:r>
      <w:r>
        <w:rPr>
          <w:sz w:val="20"/>
        </w:rPr>
        <w:t>de</w:t>
      </w:r>
      <w:r>
        <w:rPr>
          <w:spacing w:val="-5"/>
          <w:sz w:val="20"/>
        </w:rPr>
        <w:t> </w:t>
      </w:r>
      <w:r>
        <w:rPr>
          <w:sz w:val="20"/>
        </w:rPr>
        <w:t>las</w:t>
      </w:r>
      <w:r>
        <w:rPr>
          <w:spacing w:val="-4"/>
          <w:sz w:val="20"/>
        </w:rPr>
        <w:t> </w:t>
      </w:r>
      <w:r>
        <w:rPr>
          <w:sz w:val="20"/>
        </w:rPr>
        <w:t>sesiones</w:t>
      </w:r>
      <w:r>
        <w:rPr>
          <w:spacing w:val="-2"/>
          <w:sz w:val="20"/>
        </w:rPr>
        <w:t> </w:t>
      </w:r>
      <w:r>
        <w:rPr>
          <w:sz w:val="20"/>
        </w:rPr>
        <w:t>del</w:t>
      </w:r>
      <w:r>
        <w:rPr>
          <w:spacing w:val="-5"/>
          <w:sz w:val="20"/>
        </w:rPr>
        <w:t> </w:t>
      </w:r>
      <w:r>
        <w:rPr>
          <w:sz w:val="20"/>
        </w:rPr>
        <w:t>Consejo</w:t>
      </w:r>
      <w:r>
        <w:rPr>
          <w:spacing w:val="-5"/>
          <w:sz w:val="20"/>
        </w:rPr>
        <w:t> </w:t>
      </w:r>
      <w:r>
        <w:rPr>
          <w:sz w:val="20"/>
        </w:rPr>
        <w:t>y</w:t>
      </w:r>
      <w:r>
        <w:rPr>
          <w:spacing w:val="-4"/>
          <w:sz w:val="20"/>
        </w:rPr>
        <w:t> </w:t>
      </w:r>
      <w:r>
        <w:rPr>
          <w:sz w:val="20"/>
        </w:rPr>
        <w:t>llevar</w:t>
      </w:r>
      <w:r>
        <w:rPr>
          <w:spacing w:val="-5"/>
          <w:sz w:val="20"/>
        </w:rPr>
        <w:t> </w:t>
      </w:r>
      <w:r>
        <w:rPr>
          <w:sz w:val="20"/>
        </w:rPr>
        <w:t>su</w:t>
      </w:r>
      <w:r>
        <w:rPr>
          <w:spacing w:val="-3"/>
          <w:sz w:val="20"/>
        </w:rPr>
        <w:t> </w:t>
      </w:r>
      <w:r>
        <w:rPr>
          <w:spacing w:val="-2"/>
          <w:sz w:val="20"/>
        </w:rPr>
        <w:t>archivo;</w:t>
      </w:r>
    </w:p>
    <w:p>
      <w:pPr>
        <w:pStyle w:val="BodyText"/>
        <w:spacing w:before="1"/>
      </w:pPr>
    </w:p>
    <w:p>
      <w:pPr>
        <w:pStyle w:val="ListParagraph"/>
        <w:numPr>
          <w:ilvl w:val="0"/>
          <w:numId w:val="3"/>
        </w:numPr>
        <w:tabs>
          <w:tab w:pos="394" w:val="left" w:leader="none"/>
        </w:tabs>
        <w:spacing w:line="240" w:lineRule="auto" w:before="0" w:after="0"/>
        <w:ind w:left="394" w:right="0" w:hanging="276"/>
        <w:jc w:val="left"/>
        <w:rPr>
          <w:sz w:val="20"/>
        </w:rPr>
      </w:pPr>
      <w:r>
        <w:rPr>
          <w:sz w:val="20"/>
        </w:rPr>
        <w:t>Ejecutar</w:t>
      </w:r>
      <w:r>
        <w:rPr>
          <w:spacing w:val="-5"/>
          <w:sz w:val="20"/>
        </w:rPr>
        <w:t> </w:t>
      </w:r>
      <w:r>
        <w:rPr>
          <w:sz w:val="20"/>
        </w:rPr>
        <w:t>los</w:t>
      </w:r>
      <w:r>
        <w:rPr>
          <w:spacing w:val="-4"/>
          <w:sz w:val="20"/>
        </w:rPr>
        <w:t> </w:t>
      </w:r>
      <w:r>
        <w:rPr>
          <w:sz w:val="20"/>
        </w:rPr>
        <w:t>acuerdos</w:t>
      </w:r>
      <w:r>
        <w:rPr>
          <w:spacing w:val="-4"/>
          <w:sz w:val="20"/>
        </w:rPr>
        <w:t> </w:t>
      </w:r>
      <w:r>
        <w:rPr>
          <w:sz w:val="20"/>
        </w:rPr>
        <w:t>que</w:t>
      </w:r>
      <w:r>
        <w:rPr>
          <w:spacing w:val="-5"/>
          <w:sz w:val="20"/>
        </w:rPr>
        <w:t> </w:t>
      </w:r>
      <w:r>
        <w:rPr>
          <w:sz w:val="20"/>
        </w:rPr>
        <w:t>se</w:t>
      </w:r>
      <w:r>
        <w:rPr>
          <w:spacing w:val="-5"/>
          <w:sz w:val="20"/>
        </w:rPr>
        <w:t> </w:t>
      </w:r>
      <w:r>
        <w:rPr>
          <w:sz w:val="20"/>
        </w:rPr>
        <w:t>tomen</w:t>
      </w:r>
      <w:r>
        <w:rPr>
          <w:spacing w:val="-4"/>
          <w:sz w:val="20"/>
        </w:rPr>
        <w:t> </w:t>
      </w:r>
      <w:r>
        <w:rPr>
          <w:sz w:val="20"/>
        </w:rPr>
        <w:t>en</w:t>
      </w:r>
      <w:r>
        <w:rPr>
          <w:spacing w:val="-5"/>
          <w:sz w:val="20"/>
        </w:rPr>
        <w:t> </w:t>
      </w:r>
      <w:r>
        <w:rPr>
          <w:sz w:val="20"/>
        </w:rPr>
        <w:t>el</w:t>
      </w:r>
      <w:r>
        <w:rPr>
          <w:spacing w:val="-6"/>
          <w:sz w:val="20"/>
        </w:rPr>
        <w:t> </w:t>
      </w:r>
      <w:r>
        <w:rPr>
          <w:sz w:val="20"/>
        </w:rPr>
        <w:t>Consejo;</w:t>
      </w:r>
      <w:r>
        <w:rPr>
          <w:spacing w:val="-2"/>
          <w:sz w:val="20"/>
        </w:rPr>
        <w:t> </w:t>
      </w:r>
      <w:r>
        <w:rPr>
          <w:spacing w:val="-10"/>
          <w:sz w:val="20"/>
        </w:rPr>
        <w:t>y</w:t>
      </w:r>
    </w:p>
    <w:p>
      <w:pPr>
        <w:pStyle w:val="BodyText"/>
        <w:spacing w:before="1"/>
      </w:pPr>
    </w:p>
    <w:p>
      <w:pPr>
        <w:pStyle w:val="ListParagraph"/>
        <w:numPr>
          <w:ilvl w:val="0"/>
          <w:numId w:val="3"/>
        </w:numPr>
        <w:tabs>
          <w:tab w:pos="415" w:val="left" w:leader="none"/>
        </w:tabs>
        <w:spacing w:line="240" w:lineRule="auto" w:before="0" w:after="0"/>
        <w:ind w:left="415" w:right="0" w:hanging="297"/>
        <w:jc w:val="left"/>
        <w:rPr>
          <w:sz w:val="20"/>
        </w:rPr>
      </w:pPr>
      <w:r>
        <w:rPr>
          <w:sz w:val="20"/>
        </w:rPr>
        <w:t>Las</w:t>
      </w:r>
      <w:r>
        <w:rPr>
          <w:spacing w:val="-5"/>
          <w:sz w:val="20"/>
        </w:rPr>
        <w:t> </w:t>
      </w:r>
      <w:r>
        <w:rPr>
          <w:sz w:val="20"/>
        </w:rPr>
        <w:t>demás</w:t>
      </w:r>
      <w:r>
        <w:rPr>
          <w:spacing w:val="-4"/>
          <w:sz w:val="20"/>
        </w:rPr>
        <w:t> </w:t>
      </w:r>
      <w:r>
        <w:rPr>
          <w:sz w:val="20"/>
        </w:rPr>
        <w:t>que</w:t>
      </w:r>
      <w:r>
        <w:rPr>
          <w:spacing w:val="-4"/>
          <w:sz w:val="20"/>
        </w:rPr>
        <w:t> </w:t>
      </w:r>
      <w:r>
        <w:rPr>
          <w:sz w:val="20"/>
        </w:rPr>
        <w:t>le</w:t>
      </w:r>
      <w:r>
        <w:rPr>
          <w:spacing w:val="-5"/>
          <w:sz w:val="20"/>
        </w:rPr>
        <w:t> </w:t>
      </w:r>
      <w:r>
        <w:rPr>
          <w:sz w:val="20"/>
        </w:rPr>
        <w:t>señalen</w:t>
      </w:r>
      <w:r>
        <w:rPr>
          <w:spacing w:val="-6"/>
          <w:sz w:val="20"/>
        </w:rPr>
        <w:t> </w:t>
      </w:r>
      <w:r>
        <w:rPr>
          <w:sz w:val="20"/>
        </w:rPr>
        <w:t>esta</w:t>
      </w:r>
      <w:r>
        <w:rPr>
          <w:spacing w:val="-3"/>
          <w:sz w:val="20"/>
        </w:rPr>
        <w:t> </w:t>
      </w:r>
      <w:r>
        <w:rPr>
          <w:sz w:val="20"/>
        </w:rPr>
        <w:t>Ley</w:t>
      </w:r>
      <w:r>
        <w:rPr>
          <w:spacing w:val="-5"/>
          <w:sz w:val="20"/>
        </w:rPr>
        <w:t> </w:t>
      </w:r>
      <w:r>
        <w:rPr>
          <w:sz w:val="20"/>
        </w:rPr>
        <w:t>y</w:t>
      </w:r>
      <w:r>
        <w:rPr>
          <w:spacing w:val="-4"/>
          <w:sz w:val="20"/>
        </w:rPr>
        <w:t> </w:t>
      </w:r>
      <w:r>
        <w:rPr>
          <w:sz w:val="20"/>
        </w:rPr>
        <w:t>el</w:t>
      </w:r>
      <w:r>
        <w:rPr>
          <w:spacing w:val="-2"/>
          <w:sz w:val="20"/>
        </w:rPr>
        <w:t> Consejo.</w:t>
      </w:r>
    </w:p>
    <w:p>
      <w:pPr>
        <w:pStyle w:val="BodyText"/>
        <w:spacing w:before="229"/>
        <w:ind w:left="118"/>
        <w:jc w:val="both"/>
      </w:pPr>
      <w:r>
        <w:rPr/>
        <w:t>Art.</w:t>
      </w:r>
      <w:r>
        <w:rPr>
          <w:spacing w:val="-7"/>
        </w:rPr>
        <w:t> </w:t>
      </w:r>
      <w:r>
        <w:rPr/>
        <w:t>8.</w:t>
      </w:r>
      <w:r>
        <w:rPr>
          <w:spacing w:val="-5"/>
        </w:rPr>
        <w:t> </w:t>
      </w:r>
      <w:r>
        <w:rPr/>
        <w:t>El</w:t>
      </w:r>
      <w:r>
        <w:rPr>
          <w:spacing w:val="-8"/>
        </w:rPr>
        <w:t> </w:t>
      </w:r>
      <w:r>
        <w:rPr/>
        <w:t>Consejo</w:t>
      </w:r>
      <w:r>
        <w:rPr>
          <w:spacing w:val="-7"/>
        </w:rPr>
        <w:t> </w:t>
      </w:r>
      <w:r>
        <w:rPr/>
        <w:t>Estatal</w:t>
      </w:r>
      <w:r>
        <w:rPr>
          <w:spacing w:val="-6"/>
        </w:rPr>
        <w:t> </w:t>
      </w:r>
      <w:r>
        <w:rPr/>
        <w:t>de</w:t>
      </w:r>
      <w:r>
        <w:rPr>
          <w:spacing w:val="-7"/>
        </w:rPr>
        <w:t> </w:t>
      </w:r>
      <w:r>
        <w:rPr/>
        <w:t>Prevención</w:t>
      </w:r>
      <w:r>
        <w:rPr>
          <w:spacing w:val="-5"/>
        </w:rPr>
        <w:t> </w:t>
      </w:r>
      <w:r>
        <w:rPr/>
        <w:t>del</w:t>
      </w:r>
      <w:r>
        <w:rPr>
          <w:spacing w:val="-7"/>
        </w:rPr>
        <w:t> </w:t>
      </w:r>
      <w:r>
        <w:rPr/>
        <w:t>Delito</w:t>
      </w:r>
      <w:r>
        <w:rPr>
          <w:spacing w:val="-8"/>
        </w:rPr>
        <w:t> </w:t>
      </w:r>
      <w:r>
        <w:rPr/>
        <w:t>tendrá</w:t>
      </w:r>
      <w:r>
        <w:rPr>
          <w:spacing w:val="-7"/>
        </w:rPr>
        <w:t> </w:t>
      </w:r>
      <w:r>
        <w:rPr/>
        <w:t>las</w:t>
      </w:r>
      <w:r>
        <w:rPr>
          <w:spacing w:val="-6"/>
        </w:rPr>
        <w:t> </w:t>
      </w:r>
      <w:r>
        <w:rPr/>
        <w:t>siguientes</w:t>
      </w:r>
      <w:r>
        <w:rPr>
          <w:spacing w:val="-6"/>
        </w:rPr>
        <w:t> </w:t>
      </w:r>
      <w:r>
        <w:rPr>
          <w:spacing w:val="-2"/>
        </w:rPr>
        <w:t>atribuciones:</w:t>
      </w:r>
    </w:p>
    <w:p>
      <w:pPr>
        <w:pStyle w:val="BodyText"/>
        <w:spacing w:before="1"/>
      </w:pPr>
    </w:p>
    <w:p>
      <w:pPr>
        <w:pStyle w:val="ListParagraph"/>
        <w:numPr>
          <w:ilvl w:val="0"/>
          <w:numId w:val="4"/>
        </w:numPr>
        <w:tabs>
          <w:tab w:pos="292" w:val="left" w:leader="none"/>
        </w:tabs>
        <w:spacing w:line="240" w:lineRule="auto" w:before="0" w:after="0"/>
        <w:ind w:left="118" w:right="117" w:firstLine="0"/>
        <w:jc w:val="left"/>
        <w:rPr>
          <w:sz w:val="20"/>
        </w:rPr>
      </w:pPr>
      <w:r>
        <w:rPr>
          <w:sz w:val="20"/>
        </w:rPr>
        <w:t>Formular políticas públicas para la prevención del delito, las cuales tendrán carácter de permanentes y </w:t>
      </w:r>
      <w:r>
        <w:rPr>
          <w:spacing w:val="-2"/>
          <w:sz w:val="20"/>
        </w:rPr>
        <w:t>estratégicas;</w:t>
      </w:r>
    </w:p>
    <w:p>
      <w:pPr>
        <w:pStyle w:val="ListParagraph"/>
        <w:numPr>
          <w:ilvl w:val="0"/>
          <w:numId w:val="4"/>
        </w:numPr>
        <w:tabs>
          <w:tab w:pos="284" w:val="left" w:leader="none"/>
        </w:tabs>
        <w:spacing w:line="240" w:lineRule="auto" w:before="229" w:after="0"/>
        <w:ind w:left="118" w:right="120" w:firstLine="0"/>
        <w:jc w:val="both"/>
        <w:rPr>
          <w:sz w:val="20"/>
        </w:rPr>
      </w:pPr>
      <w:r>
        <w:rPr>
          <w:sz w:val="20"/>
        </w:rPr>
        <w:t>Ejecutar, dar seguimiento y evaluar las acciones contenidas en el Plan Rector para la prevención del delito en el Estado de Hidalgo;</w:t>
      </w:r>
    </w:p>
    <w:p>
      <w:pPr>
        <w:pStyle w:val="BodyText"/>
        <w:spacing w:before="1"/>
      </w:pPr>
    </w:p>
    <w:p>
      <w:pPr>
        <w:pStyle w:val="ListParagraph"/>
        <w:numPr>
          <w:ilvl w:val="0"/>
          <w:numId w:val="4"/>
        </w:numPr>
        <w:tabs>
          <w:tab w:pos="391" w:val="left" w:leader="none"/>
        </w:tabs>
        <w:spacing w:line="240" w:lineRule="auto" w:before="0" w:after="0"/>
        <w:ind w:left="391" w:right="0" w:hanging="273"/>
        <w:jc w:val="left"/>
        <w:rPr>
          <w:sz w:val="20"/>
        </w:rPr>
      </w:pPr>
      <w:r>
        <w:rPr>
          <w:sz w:val="20"/>
        </w:rPr>
        <w:t>Diseñar</w:t>
      </w:r>
      <w:r>
        <w:rPr>
          <w:spacing w:val="-9"/>
          <w:sz w:val="20"/>
        </w:rPr>
        <w:t> </w:t>
      </w:r>
      <w:r>
        <w:rPr>
          <w:sz w:val="20"/>
        </w:rPr>
        <w:t>una</w:t>
      </w:r>
      <w:r>
        <w:rPr>
          <w:spacing w:val="-8"/>
          <w:sz w:val="20"/>
        </w:rPr>
        <w:t> </w:t>
      </w:r>
      <w:r>
        <w:rPr>
          <w:sz w:val="20"/>
        </w:rPr>
        <w:t>estrategia</w:t>
      </w:r>
      <w:r>
        <w:rPr>
          <w:spacing w:val="-7"/>
          <w:sz w:val="20"/>
        </w:rPr>
        <w:t> </w:t>
      </w:r>
      <w:r>
        <w:rPr>
          <w:sz w:val="20"/>
        </w:rPr>
        <w:t>de</w:t>
      </w:r>
      <w:r>
        <w:rPr>
          <w:spacing w:val="-9"/>
          <w:sz w:val="20"/>
        </w:rPr>
        <w:t> </w:t>
      </w:r>
      <w:r>
        <w:rPr>
          <w:sz w:val="20"/>
        </w:rPr>
        <w:t>colaboración</w:t>
      </w:r>
      <w:r>
        <w:rPr>
          <w:spacing w:val="-7"/>
          <w:sz w:val="20"/>
        </w:rPr>
        <w:t> </w:t>
      </w:r>
      <w:r>
        <w:rPr>
          <w:spacing w:val="-2"/>
          <w:sz w:val="20"/>
        </w:rPr>
        <w:t>interinstitucional;</w:t>
      </w:r>
    </w:p>
    <w:p>
      <w:pPr>
        <w:pStyle w:val="BodyText"/>
        <w:spacing w:before="1"/>
      </w:pPr>
    </w:p>
    <w:p>
      <w:pPr>
        <w:pStyle w:val="ListParagraph"/>
        <w:numPr>
          <w:ilvl w:val="0"/>
          <w:numId w:val="4"/>
        </w:numPr>
        <w:tabs>
          <w:tab w:pos="417" w:val="left" w:leader="none"/>
        </w:tabs>
        <w:spacing w:line="240" w:lineRule="auto" w:before="0" w:after="0"/>
        <w:ind w:left="417" w:right="0" w:hanging="299"/>
        <w:jc w:val="left"/>
        <w:rPr>
          <w:sz w:val="20"/>
        </w:rPr>
      </w:pPr>
      <w:r>
        <w:rPr>
          <w:sz w:val="20"/>
        </w:rPr>
        <w:t>Promover</w:t>
      </w:r>
      <w:r>
        <w:rPr>
          <w:spacing w:val="-6"/>
          <w:sz w:val="20"/>
        </w:rPr>
        <w:t> </w:t>
      </w:r>
      <w:r>
        <w:rPr>
          <w:sz w:val="20"/>
        </w:rPr>
        <w:t>la</w:t>
      </w:r>
      <w:r>
        <w:rPr>
          <w:spacing w:val="-5"/>
          <w:sz w:val="20"/>
        </w:rPr>
        <w:t> </w:t>
      </w:r>
      <w:r>
        <w:rPr>
          <w:sz w:val="20"/>
        </w:rPr>
        <w:t>cultura</w:t>
      </w:r>
      <w:r>
        <w:rPr>
          <w:spacing w:val="-5"/>
          <w:sz w:val="20"/>
        </w:rPr>
        <w:t> </w:t>
      </w:r>
      <w:r>
        <w:rPr>
          <w:sz w:val="20"/>
        </w:rPr>
        <w:t>de</w:t>
      </w:r>
      <w:r>
        <w:rPr>
          <w:spacing w:val="-3"/>
          <w:sz w:val="20"/>
        </w:rPr>
        <w:t> </w:t>
      </w:r>
      <w:r>
        <w:rPr>
          <w:sz w:val="20"/>
        </w:rPr>
        <w:t>la</w:t>
      </w:r>
      <w:r>
        <w:rPr>
          <w:spacing w:val="-6"/>
          <w:sz w:val="20"/>
        </w:rPr>
        <w:t> </w:t>
      </w:r>
      <w:r>
        <w:rPr>
          <w:sz w:val="20"/>
        </w:rPr>
        <w:t>paz</w:t>
      </w:r>
      <w:r>
        <w:rPr>
          <w:spacing w:val="-4"/>
          <w:sz w:val="20"/>
        </w:rPr>
        <w:t> </w:t>
      </w:r>
      <w:r>
        <w:rPr>
          <w:sz w:val="20"/>
        </w:rPr>
        <w:t>y</w:t>
      </w:r>
      <w:r>
        <w:rPr>
          <w:spacing w:val="-4"/>
          <w:sz w:val="20"/>
        </w:rPr>
        <w:t> </w:t>
      </w:r>
      <w:r>
        <w:rPr>
          <w:sz w:val="20"/>
        </w:rPr>
        <w:t>el</w:t>
      </w:r>
      <w:r>
        <w:rPr>
          <w:spacing w:val="-6"/>
          <w:sz w:val="20"/>
        </w:rPr>
        <w:t> </w:t>
      </w:r>
      <w:r>
        <w:rPr>
          <w:sz w:val="20"/>
        </w:rPr>
        <w:t>acceso</w:t>
      </w:r>
      <w:r>
        <w:rPr>
          <w:spacing w:val="-5"/>
          <w:sz w:val="20"/>
        </w:rPr>
        <w:t> </w:t>
      </w:r>
      <w:r>
        <w:rPr>
          <w:sz w:val="20"/>
        </w:rPr>
        <w:t>de</w:t>
      </w:r>
      <w:r>
        <w:rPr>
          <w:spacing w:val="-6"/>
          <w:sz w:val="20"/>
        </w:rPr>
        <w:t> </w:t>
      </w:r>
      <w:r>
        <w:rPr>
          <w:sz w:val="20"/>
        </w:rPr>
        <w:t>la</w:t>
      </w:r>
      <w:r>
        <w:rPr>
          <w:spacing w:val="-5"/>
          <w:sz w:val="20"/>
        </w:rPr>
        <w:t> </w:t>
      </w:r>
      <w:r>
        <w:rPr>
          <w:sz w:val="20"/>
        </w:rPr>
        <w:t>ciudadanía</w:t>
      </w:r>
      <w:r>
        <w:rPr>
          <w:spacing w:val="-4"/>
          <w:sz w:val="20"/>
        </w:rPr>
        <w:t> </w:t>
      </w:r>
      <w:r>
        <w:rPr>
          <w:sz w:val="20"/>
        </w:rPr>
        <w:t>a</w:t>
      </w:r>
      <w:r>
        <w:rPr>
          <w:spacing w:val="-5"/>
          <w:sz w:val="20"/>
        </w:rPr>
        <w:t> </w:t>
      </w:r>
      <w:r>
        <w:rPr>
          <w:sz w:val="20"/>
        </w:rPr>
        <w:t>los medios</w:t>
      </w:r>
      <w:r>
        <w:rPr>
          <w:spacing w:val="-4"/>
          <w:sz w:val="20"/>
        </w:rPr>
        <w:t> </w:t>
      </w:r>
      <w:r>
        <w:rPr>
          <w:sz w:val="20"/>
        </w:rPr>
        <w:t>de</w:t>
      </w:r>
      <w:r>
        <w:rPr>
          <w:spacing w:val="-6"/>
          <w:sz w:val="20"/>
        </w:rPr>
        <w:t> </w:t>
      </w:r>
      <w:r>
        <w:rPr>
          <w:sz w:val="20"/>
        </w:rPr>
        <w:t>justicia</w:t>
      </w:r>
      <w:r>
        <w:rPr>
          <w:spacing w:val="-4"/>
          <w:sz w:val="20"/>
        </w:rPr>
        <w:t> </w:t>
      </w:r>
      <w:r>
        <w:rPr>
          <w:spacing w:val="-2"/>
          <w:sz w:val="20"/>
        </w:rPr>
        <w:t>alternativa;</w:t>
      </w:r>
    </w:p>
    <w:p>
      <w:pPr>
        <w:pStyle w:val="ListParagraph"/>
        <w:numPr>
          <w:ilvl w:val="0"/>
          <w:numId w:val="4"/>
        </w:numPr>
        <w:tabs>
          <w:tab w:pos="359" w:val="left" w:leader="none"/>
        </w:tabs>
        <w:spacing w:line="240" w:lineRule="auto" w:before="228" w:after="0"/>
        <w:ind w:left="359" w:right="0" w:hanging="241"/>
        <w:jc w:val="left"/>
        <w:rPr>
          <w:sz w:val="20"/>
        </w:rPr>
      </w:pPr>
      <w:r>
        <w:rPr>
          <w:sz w:val="20"/>
        </w:rPr>
        <w:t>Promover</w:t>
      </w:r>
      <w:r>
        <w:rPr>
          <w:spacing w:val="-6"/>
          <w:sz w:val="20"/>
        </w:rPr>
        <w:t> </w:t>
      </w:r>
      <w:r>
        <w:rPr>
          <w:sz w:val="20"/>
        </w:rPr>
        <w:t>la</w:t>
      </w:r>
      <w:r>
        <w:rPr>
          <w:spacing w:val="-6"/>
          <w:sz w:val="20"/>
        </w:rPr>
        <w:t> </w:t>
      </w:r>
      <w:r>
        <w:rPr>
          <w:sz w:val="20"/>
        </w:rPr>
        <w:t>cultura</w:t>
      </w:r>
      <w:r>
        <w:rPr>
          <w:spacing w:val="-4"/>
          <w:sz w:val="20"/>
        </w:rPr>
        <w:t> </w:t>
      </w:r>
      <w:r>
        <w:rPr>
          <w:sz w:val="20"/>
        </w:rPr>
        <w:t>de</w:t>
      </w:r>
      <w:r>
        <w:rPr>
          <w:spacing w:val="-5"/>
          <w:sz w:val="20"/>
        </w:rPr>
        <w:t> </w:t>
      </w:r>
      <w:r>
        <w:rPr>
          <w:sz w:val="20"/>
        </w:rPr>
        <w:t>la</w:t>
      </w:r>
      <w:r>
        <w:rPr>
          <w:spacing w:val="-6"/>
          <w:sz w:val="20"/>
        </w:rPr>
        <w:t> </w:t>
      </w:r>
      <w:r>
        <w:rPr>
          <w:spacing w:val="-2"/>
          <w:sz w:val="20"/>
        </w:rPr>
        <w:t>legalidad;</w:t>
      </w:r>
    </w:p>
    <w:p>
      <w:pPr>
        <w:pStyle w:val="BodyText"/>
        <w:spacing w:before="1"/>
      </w:pPr>
    </w:p>
    <w:p>
      <w:pPr>
        <w:pStyle w:val="ListParagraph"/>
        <w:numPr>
          <w:ilvl w:val="0"/>
          <w:numId w:val="4"/>
        </w:numPr>
        <w:tabs>
          <w:tab w:pos="415" w:val="left" w:leader="none"/>
        </w:tabs>
        <w:spacing w:line="240" w:lineRule="auto" w:before="0" w:after="0"/>
        <w:ind w:left="415" w:right="0" w:hanging="297"/>
        <w:jc w:val="left"/>
        <w:rPr>
          <w:sz w:val="20"/>
        </w:rPr>
      </w:pPr>
      <w:r>
        <w:rPr>
          <w:sz w:val="20"/>
        </w:rPr>
        <w:t>Implementar</w:t>
      </w:r>
      <w:r>
        <w:rPr>
          <w:spacing w:val="-9"/>
          <w:sz w:val="20"/>
        </w:rPr>
        <w:t> </w:t>
      </w:r>
      <w:r>
        <w:rPr>
          <w:sz w:val="20"/>
        </w:rPr>
        <w:t>programas</w:t>
      </w:r>
      <w:r>
        <w:rPr>
          <w:spacing w:val="-8"/>
          <w:sz w:val="20"/>
        </w:rPr>
        <w:t> </w:t>
      </w:r>
      <w:r>
        <w:rPr>
          <w:spacing w:val="-2"/>
          <w:sz w:val="20"/>
        </w:rPr>
        <w:t>para:</w:t>
      </w:r>
    </w:p>
    <w:p>
      <w:pPr>
        <w:pStyle w:val="BodyText"/>
        <w:spacing w:before="1"/>
      </w:pPr>
    </w:p>
    <w:p>
      <w:pPr>
        <w:pStyle w:val="ListParagraph"/>
        <w:numPr>
          <w:ilvl w:val="1"/>
          <w:numId w:val="4"/>
        </w:numPr>
        <w:tabs>
          <w:tab w:pos="349" w:val="left" w:leader="none"/>
        </w:tabs>
        <w:spacing w:line="240" w:lineRule="auto" w:before="0" w:after="0"/>
        <w:ind w:left="349" w:right="0" w:hanging="231"/>
        <w:jc w:val="left"/>
        <w:rPr>
          <w:sz w:val="20"/>
        </w:rPr>
      </w:pPr>
      <w:r>
        <w:rPr>
          <w:sz w:val="20"/>
        </w:rPr>
        <w:t>Prevenir</w:t>
      </w:r>
      <w:r>
        <w:rPr>
          <w:spacing w:val="-6"/>
          <w:sz w:val="20"/>
        </w:rPr>
        <w:t> </w:t>
      </w:r>
      <w:r>
        <w:rPr>
          <w:sz w:val="20"/>
        </w:rPr>
        <w:t>la</w:t>
      </w:r>
      <w:r>
        <w:rPr>
          <w:spacing w:val="-6"/>
          <w:sz w:val="20"/>
        </w:rPr>
        <w:t> </w:t>
      </w:r>
      <w:r>
        <w:rPr>
          <w:sz w:val="20"/>
        </w:rPr>
        <w:t>violencia</w:t>
      </w:r>
      <w:r>
        <w:rPr>
          <w:spacing w:val="-5"/>
          <w:sz w:val="20"/>
        </w:rPr>
        <w:t> </w:t>
      </w:r>
      <w:r>
        <w:rPr>
          <w:sz w:val="20"/>
        </w:rPr>
        <w:t>infantil</w:t>
      </w:r>
      <w:r>
        <w:rPr>
          <w:spacing w:val="-8"/>
          <w:sz w:val="20"/>
        </w:rPr>
        <w:t> </w:t>
      </w:r>
      <w:r>
        <w:rPr>
          <w:sz w:val="20"/>
        </w:rPr>
        <w:t>y</w:t>
      </w:r>
      <w:r>
        <w:rPr>
          <w:spacing w:val="-5"/>
          <w:sz w:val="20"/>
        </w:rPr>
        <w:t> </w:t>
      </w:r>
      <w:r>
        <w:rPr>
          <w:spacing w:val="-2"/>
          <w:sz w:val="20"/>
        </w:rPr>
        <w:t>juvenil;</w:t>
      </w:r>
    </w:p>
    <w:p>
      <w:pPr>
        <w:pStyle w:val="ListParagraph"/>
        <w:numPr>
          <w:ilvl w:val="1"/>
          <w:numId w:val="4"/>
        </w:numPr>
        <w:tabs>
          <w:tab w:pos="383" w:val="left" w:leader="none"/>
        </w:tabs>
        <w:spacing w:line="240" w:lineRule="auto" w:before="229" w:after="0"/>
        <w:ind w:left="118" w:right="114" w:firstLine="0"/>
        <w:jc w:val="left"/>
        <w:rPr>
          <w:sz w:val="20"/>
        </w:rPr>
      </w:pPr>
      <w:r>
        <w:rPr>
          <w:sz w:val="20"/>
        </w:rPr>
        <w:t>Promover</w:t>
      </w:r>
      <w:r>
        <w:rPr>
          <w:spacing w:val="30"/>
          <w:sz w:val="20"/>
        </w:rPr>
        <w:t> </w:t>
      </w:r>
      <w:r>
        <w:rPr>
          <w:sz w:val="20"/>
        </w:rPr>
        <w:t>la</w:t>
      </w:r>
      <w:r>
        <w:rPr>
          <w:spacing w:val="30"/>
          <w:sz w:val="20"/>
        </w:rPr>
        <w:t> </w:t>
      </w:r>
      <w:r>
        <w:rPr>
          <w:sz w:val="20"/>
        </w:rPr>
        <w:t>erradicación</w:t>
      </w:r>
      <w:r>
        <w:rPr>
          <w:spacing w:val="30"/>
          <w:sz w:val="20"/>
        </w:rPr>
        <w:t> </w:t>
      </w:r>
      <w:r>
        <w:rPr>
          <w:sz w:val="20"/>
        </w:rPr>
        <w:t>de</w:t>
      </w:r>
      <w:r>
        <w:rPr>
          <w:spacing w:val="31"/>
          <w:sz w:val="20"/>
        </w:rPr>
        <w:t> </w:t>
      </w:r>
      <w:r>
        <w:rPr>
          <w:sz w:val="20"/>
        </w:rPr>
        <w:t>la</w:t>
      </w:r>
      <w:r>
        <w:rPr>
          <w:spacing w:val="32"/>
          <w:sz w:val="20"/>
        </w:rPr>
        <w:t> </w:t>
      </w:r>
      <w:r>
        <w:rPr>
          <w:sz w:val="20"/>
        </w:rPr>
        <w:t>violencia,</w:t>
      </w:r>
      <w:r>
        <w:rPr>
          <w:spacing w:val="32"/>
          <w:sz w:val="20"/>
        </w:rPr>
        <w:t> </w:t>
      </w:r>
      <w:r>
        <w:rPr>
          <w:sz w:val="20"/>
        </w:rPr>
        <w:t>especialmente</w:t>
      </w:r>
      <w:r>
        <w:rPr>
          <w:spacing w:val="30"/>
          <w:sz w:val="20"/>
        </w:rPr>
        <w:t> </w:t>
      </w:r>
      <w:r>
        <w:rPr>
          <w:sz w:val="20"/>
        </w:rPr>
        <w:t>la</w:t>
      </w:r>
      <w:r>
        <w:rPr>
          <w:spacing w:val="30"/>
          <w:sz w:val="20"/>
        </w:rPr>
        <w:t> </w:t>
      </w:r>
      <w:r>
        <w:rPr>
          <w:sz w:val="20"/>
        </w:rPr>
        <w:t>ejercida</w:t>
      </w:r>
      <w:r>
        <w:rPr>
          <w:spacing w:val="30"/>
          <w:sz w:val="20"/>
        </w:rPr>
        <w:t> </w:t>
      </w:r>
      <w:r>
        <w:rPr>
          <w:sz w:val="20"/>
        </w:rPr>
        <w:t>contra</w:t>
      </w:r>
      <w:r>
        <w:rPr>
          <w:spacing w:val="30"/>
          <w:sz w:val="20"/>
        </w:rPr>
        <w:t> </w:t>
      </w:r>
      <w:r>
        <w:rPr>
          <w:sz w:val="20"/>
        </w:rPr>
        <w:t>niños,</w:t>
      </w:r>
      <w:r>
        <w:rPr>
          <w:spacing w:val="30"/>
          <w:sz w:val="20"/>
        </w:rPr>
        <w:t> </w:t>
      </w:r>
      <w:r>
        <w:rPr>
          <w:sz w:val="20"/>
        </w:rPr>
        <w:t>jóvenes,</w:t>
      </w:r>
      <w:r>
        <w:rPr>
          <w:spacing w:val="30"/>
          <w:sz w:val="20"/>
        </w:rPr>
        <w:t> </w:t>
      </w:r>
      <w:r>
        <w:rPr>
          <w:sz w:val="20"/>
        </w:rPr>
        <w:t>mujeres, indígenas y adultos mayores; y</w:t>
      </w:r>
    </w:p>
    <w:p>
      <w:pPr>
        <w:pStyle w:val="BodyText"/>
        <w:spacing w:before="1"/>
      </w:pPr>
    </w:p>
    <w:p>
      <w:pPr>
        <w:pStyle w:val="ListParagraph"/>
        <w:numPr>
          <w:ilvl w:val="1"/>
          <w:numId w:val="4"/>
        </w:numPr>
        <w:tabs>
          <w:tab w:pos="340" w:val="left" w:leader="none"/>
        </w:tabs>
        <w:spacing w:line="240" w:lineRule="auto" w:before="0" w:after="0"/>
        <w:ind w:left="340" w:right="0" w:hanging="222"/>
        <w:jc w:val="left"/>
        <w:rPr>
          <w:sz w:val="20"/>
        </w:rPr>
      </w:pPr>
      <w:r>
        <w:rPr>
          <w:sz w:val="20"/>
        </w:rPr>
        <w:t>Garantizar</w:t>
      </w:r>
      <w:r>
        <w:rPr>
          <w:spacing w:val="-8"/>
          <w:sz w:val="20"/>
        </w:rPr>
        <w:t> </w:t>
      </w:r>
      <w:r>
        <w:rPr>
          <w:sz w:val="20"/>
        </w:rPr>
        <w:t>la</w:t>
      </w:r>
      <w:r>
        <w:rPr>
          <w:spacing w:val="-7"/>
          <w:sz w:val="20"/>
        </w:rPr>
        <w:t> </w:t>
      </w:r>
      <w:r>
        <w:rPr>
          <w:sz w:val="20"/>
        </w:rPr>
        <w:t>atención</w:t>
      </w:r>
      <w:r>
        <w:rPr>
          <w:spacing w:val="-6"/>
          <w:sz w:val="20"/>
        </w:rPr>
        <w:t> </w:t>
      </w:r>
      <w:r>
        <w:rPr>
          <w:sz w:val="20"/>
        </w:rPr>
        <w:t>integral</w:t>
      </w:r>
      <w:r>
        <w:rPr>
          <w:spacing w:val="-6"/>
          <w:sz w:val="20"/>
        </w:rPr>
        <w:t> </w:t>
      </w:r>
      <w:r>
        <w:rPr>
          <w:sz w:val="20"/>
        </w:rPr>
        <w:t>a</w:t>
      </w:r>
      <w:r>
        <w:rPr>
          <w:spacing w:val="-8"/>
          <w:sz w:val="20"/>
        </w:rPr>
        <w:t> </w:t>
      </w:r>
      <w:r>
        <w:rPr>
          <w:sz w:val="20"/>
        </w:rPr>
        <w:t>las</w:t>
      </w:r>
      <w:r>
        <w:rPr>
          <w:spacing w:val="-6"/>
          <w:sz w:val="20"/>
        </w:rPr>
        <w:t> </w:t>
      </w:r>
      <w:r>
        <w:rPr>
          <w:sz w:val="20"/>
        </w:rPr>
        <w:t>víctimas</w:t>
      </w:r>
      <w:r>
        <w:rPr>
          <w:spacing w:val="-6"/>
          <w:sz w:val="20"/>
        </w:rPr>
        <w:t> </w:t>
      </w:r>
      <w:r>
        <w:rPr>
          <w:sz w:val="20"/>
        </w:rPr>
        <w:t>del</w:t>
      </w:r>
      <w:r>
        <w:rPr>
          <w:spacing w:val="-8"/>
          <w:sz w:val="20"/>
        </w:rPr>
        <w:t> </w:t>
      </w:r>
      <w:r>
        <w:rPr>
          <w:spacing w:val="-2"/>
          <w:sz w:val="20"/>
        </w:rPr>
        <w:t>delito.</w:t>
      </w:r>
    </w:p>
    <w:p>
      <w:pPr>
        <w:pStyle w:val="ListParagraph"/>
        <w:numPr>
          <w:ilvl w:val="0"/>
          <w:numId w:val="4"/>
        </w:numPr>
        <w:tabs>
          <w:tab w:pos="470" w:val="left" w:leader="none"/>
        </w:tabs>
        <w:spacing w:line="240" w:lineRule="auto" w:before="228" w:after="0"/>
        <w:ind w:left="470" w:right="0" w:hanging="352"/>
        <w:jc w:val="left"/>
        <w:rPr>
          <w:sz w:val="20"/>
        </w:rPr>
      </w:pPr>
      <w:r>
        <w:rPr>
          <w:sz w:val="20"/>
        </w:rPr>
        <w:t>Realizar</w:t>
      </w:r>
      <w:r>
        <w:rPr>
          <w:spacing w:val="-5"/>
          <w:sz w:val="20"/>
        </w:rPr>
        <w:t> </w:t>
      </w:r>
      <w:r>
        <w:rPr>
          <w:sz w:val="20"/>
        </w:rPr>
        <w:t>por</w:t>
      </w:r>
      <w:r>
        <w:rPr>
          <w:spacing w:val="-4"/>
          <w:sz w:val="20"/>
        </w:rPr>
        <w:t> </w:t>
      </w:r>
      <w:r>
        <w:rPr>
          <w:sz w:val="20"/>
        </w:rPr>
        <w:t>sí</w:t>
      </w:r>
      <w:r>
        <w:rPr>
          <w:spacing w:val="-5"/>
          <w:sz w:val="20"/>
        </w:rPr>
        <w:t> </w:t>
      </w:r>
      <w:r>
        <w:rPr>
          <w:sz w:val="20"/>
        </w:rPr>
        <w:t>o</w:t>
      </w:r>
      <w:r>
        <w:rPr>
          <w:spacing w:val="-5"/>
          <w:sz w:val="20"/>
        </w:rPr>
        <w:t> </w:t>
      </w:r>
      <w:r>
        <w:rPr>
          <w:sz w:val="20"/>
        </w:rPr>
        <w:t>por</w:t>
      </w:r>
      <w:r>
        <w:rPr>
          <w:spacing w:val="-5"/>
          <w:sz w:val="20"/>
        </w:rPr>
        <w:t> </w:t>
      </w:r>
      <w:r>
        <w:rPr>
          <w:sz w:val="20"/>
        </w:rPr>
        <w:t>terceros,</w:t>
      </w:r>
      <w:r>
        <w:rPr>
          <w:spacing w:val="-4"/>
          <w:sz w:val="20"/>
        </w:rPr>
        <w:t> </w:t>
      </w:r>
      <w:r>
        <w:rPr>
          <w:sz w:val="20"/>
        </w:rPr>
        <w:t>estudios</w:t>
      </w:r>
      <w:r>
        <w:rPr>
          <w:spacing w:val="-4"/>
          <w:sz w:val="20"/>
        </w:rPr>
        <w:t> </w:t>
      </w:r>
      <w:r>
        <w:rPr>
          <w:spacing w:val="-2"/>
          <w:sz w:val="20"/>
        </w:rPr>
        <w:t>sobre:</w:t>
      </w:r>
    </w:p>
    <w:p>
      <w:pPr>
        <w:pStyle w:val="BodyText"/>
        <w:spacing w:before="1"/>
      </w:pPr>
    </w:p>
    <w:p>
      <w:pPr>
        <w:pStyle w:val="ListParagraph"/>
        <w:numPr>
          <w:ilvl w:val="1"/>
          <w:numId w:val="4"/>
        </w:numPr>
        <w:tabs>
          <w:tab w:pos="349" w:val="left" w:leader="none"/>
        </w:tabs>
        <w:spacing w:line="240" w:lineRule="auto" w:before="0" w:after="0"/>
        <w:ind w:left="349" w:right="0" w:hanging="231"/>
        <w:jc w:val="left"/>
        <w:rPr>
          <w:sz w:val="20"/>
        </w:rPr>
      </w:pPr>
      <w:r>
        <w:rPr>
          <w:sz w:val="20"/>
        </w:rPr>
        <w:t>Las</w:t>
      </w:r>
      <w:r>
        <w:rPr>
          <w:spacing w:val="-8"/>
          <w:sz w:val="20"/>
        </w:rPr>
        <w:t> </w:t>
      </w:r>
      <w:r>
        <w:rPr>
          <w:sz w:val="20"/>
        </w:rPr>
        <w:t>causas</w:t>
      </w:r>
      <w:r>
        <w:rPr>
          <w:spacing w:val="-7"/>
          <w:sz w:val="20"/>
        </w:rPr>
        <w:t> </w:t>
      </w:r>
      <w:r>
        <w:rPr>
          <w:sz w:val="20"/>
        </w:rPr>
        <w:t>estructurales</w:t>
      </w:r>
      <w:r>
        <w:rPr>
          <w:spacing w:val="-5"/>
          <w:sz w:val="20"/>
        </w:rPr>
        <w:t> </w:t>
      </w:r>
      <w:r>
        <w:rPr>
          <w:sz w:val="20"/>
        </w:rPr>
        <w:t>del</w:t>
      </w:r>
      <w:r>
        <w:rPr>
          <w:spacing w:val="-7"/>
          <w:sz w:val="20"/>
        </w:rPr>
        <w:t> </w:t>
      </w:r>
      <w:r>
        <w:rPr>
          <w:spacing w:val="-2"/>
          <w:sz w:val="20"/>
        </w:rPr>
        <w:t>delito;</w:t>
      </w:r>
    </w:p>
    <w:p>
      <w:pPr>
        <w:pStyle w:val="BodyText"/>
        <w:spacing w:before="1"/>
      </w:pPr>
    </w:p>
    <w:p>
      <w:pPr>
        <w:pStyle w:val="ListParagraph"/>
        <w:numPr>
          <w:ilvl w:val="1"/>
          <w:numId w:val="4"/>
        </w:numPr>
        <w:tabs>
          <w:tab w:pos="349" w:val="left" w:leader="none"/>
        </w:tabs>
        <w:spacing w:line="240" w:lineRule="auto" w:before="0" w:after="0"/>
        <w:ind w:left="349" w:right="0" w:hanging="231"/>
        <w:jc w:val="left"/>
        <w:rPr>
          <w:sz w:val="20"/>
        </w:rPr>
      </w:pPr>
      <w:r>
        <w:rPr>
          <w:sz w:val="20"/>
        </w:rPr>
        <w:t>La</w:t>
      </w:r>
      <w:r>
        <w:rPr>
          <w:spacing w:val="-9"/>
          <w:sz w:val="20"/>
        </w:rPr>
        <w:t> </w:t>
      </w:r>
      <w:r>
        <w:rPr>
          <w:sz w:val="20"/>
        </w:rPr>
        <w:t>distribución</w:t>
      </w:r>
      <w:r>
        <w:rPr>
          <w:spacing w:val="-9"/>
          <w:sz w:val="20"/>
        </w:rPr>
        <w:t> </w:t>
      </w:r>
      <w:r>
        <w:rPr>
          <w:spacing w:val="-2"/>
          <w:sz w:val="20"/>
        </w:rPr>
        <w:t>geodelictiva;</w:t>
      </w:r>
    </w:p>
    <w:p>
      <w:pPr>
        <w:pStyle w:val="ListParagraph"/>
        <w:numPr>
          <w:ilvl w:val="1"/>
          <w:numId w:val="4"/>
        </w:numPr>
        <w:tabs>
          <w:tab w:pos="340" w:val="left" w:leader="none"/>
        </w:tabs>
        <w:spacing w:line="240" w:lineRule="auto" w:before="229" w:after="0"/>
        <w:ind w:left="340" w:right="0" w:hanging="222"/>
        <w:jc w:val="left"/>
        <w:rPr>
          <w:sz w:val="20"/>
        </w:rPr>
      </w:pPr>
      <w:r>
        <w:rPr>
          <w:sz w:val="20"/>
        </w:rPr>
        <w:t>Estadísticas</w:t>
      </w:r>
      <w:r>
        <w:rPr>
          <w:spacing w:val="-8"/>
          <w:sz w:val="20"/>
        </w:rPr>
        <w:t> </w:t>
      </w:r>
      <w:r>
        <w:rPr>
          <w:sz w:val="20"/>
        </w:rPr>
        <w:t>de</w:t>
      </w:r>
      <w:r>
        <w:rPr>
          <w:spacing w:val="-9"/>
          <w:sz w:val="20"/>
        </w:rPr>
        <w:t> </w:t>
      </w:r>
      <w:r>
        <w:rPr>
          <w:sz w:val="20"/>
        </w:rPr>
        <w:t>conductas</w:t>
      </w:r>
      <w:r>
        <w:rPr>
          <w:spacing w:val="-7"/>
          <w:sz w:val="20"/>
        </w:rPr>
        <w:t> </w:t>
      </w:r>
      <w:r>
        <w:rPr>
          <w:sz w:val="20"/>
        </w:rPr>
        <w:t>ilícitas</w:t>
      </w:r>
      <w:r>
        <w:rPr>
          <w:spacing w:val="-8"/>
          <w:sz w:val="20"/>
        </w:rPr>
        <w:t> </w:t>
      </w:r>
      <w:r>
        <w:rPr>
          <w:sz w:val="20"/>
        </w:rPr>
        <w:t>no</w:t>
      </w:r>
      <w:r>
        <w:rPr>
          <w:spacing w:val="-7"/>
          <w:sz w:val="20"/>
        </w:rPr>
        <w:t> </w:t>
      </w:r>
      <w:r>
        <w:rPr>
          <w:spacing w:val="-2"/>
          <w:sz w:val="20"/>
        </w:rPr>
        <w:t>denunciadas;</w:t>
      </w:r>
    </w:p>
    <w:p>
      <w:pPr>
        <w:pStyle w:val="BodyText"/>
      </w:pPr>
    </w:p>
    <w:p>
      <w:pPr>
        <w:pStyle w:val="ListParagraph"/>
        <w:numPr>
          <w:ilvl w:val="1"/>
          <w:numId w:val="4"/>
        </w:numPr>
        <w:tabs>
          <w:tab w:pos="349" w:val="left" w:leader="none"/>
        </w:tabs>
        <w:spacing w:line="240" w:lineRule="auto" w:before="0" w:after="0"/>
        <w:ind w:left="349" w:right="0" w:hanging="231"/>
        <w:jc w:val="left"/>
        <w:rPr>
          <w:sz w:val="20"/>
        </w:rPr>
      </w:pPr>
      <w:r>
        <w:rPr>
          <w:sz w:val="20"/>
        </w:rPr>
        <w:t>Tendencias</w:t>
      </w:r>
      <w:r>
        <w:rPr>
          <w:spacing w:val="-6"/>
          <w:sz w:val="20"/>
        </w:rPr>
        <w:t> </w:t>
      </w:r>
      <w:r>
        <w:rPr>
          <w:sz w:val="20"/>
        </w:rPr>
        <w:t>históricas</w:t>
      </w:r>
      <w:r>
        <w:rPr>
          <w:spacing w:val="-7"/>
          <w:sz w:val="20"/>
        </w:rPr>
        <w:t> </w:t>
      </w:r>
      <w:r>
        <w:rPr>
          <w:sz w:val="20"/>
        </w:rPr>
        <w:t>y</w:t>
      </w:r>
      <w:r>
        <w:rPr>
          <w:spacing w:val="-8"/>
          <w:sz w:val="20"/>
        </w:rPr>
        <w:t> </w:t>
      </w:r>
      <w:r>
        <w:rPr>
          <w:sz w:val="20"/>
        </w:rPr>
        <w:t>patrones</w:t>
      </w:r>
      <w:r>
        <w:rPr>
          <w:spacing w:val="-7"/>
          <w:sz w:val="20"/>
        </w:rPr>
        <w:t> </w:t>
      </w:r>
      <w:r>
        <w:rPr>
          <w:sz w:val="20"/>
        </w:rPr>
        <w:t>de</w:t>
      </w:r>
      <w:r>
        <w:rPr>
          <w:spacing w:val="-9"/>
          <w:sz w:val="20"/>
        </w:rPr>
        <w:t> </w:t>
      </w:r>
      <w:r>
        <w:rPr>
          <w:spacing w:val="-2"/>
          <w:sz w:val="20"/>
        </w:rPr>
        <w:t>comportamiento;</w:t>
      </w:r>
    </w:p>
    <w:p>
      <w:pPr>
        <w:pStyle w:val="BodyText"/>
        <w:spacing w:before="2"/>
      </w:pPr>
    </w:p>
    <w:p>
      <w:pPr>
        <w:pStyle w:val="ListParagraph"/>
        <w:numPr>
          <w:ilvl w:val="1"/>
          <w:numId w:val="4"/>
        </w:numPr>
        <w:tabs>
          <w:tab w:pos="349" w:val="left" w:leader="none"/>
        </w:tabs>
        <w:spacing w:line="240" w:lineRule="auto" w:before="0" w:after="0"/>
        <w:ind w:left="349" w:right="0" w:hanging="231"/>
        <w:jc w:val="left"/>
        <w:rPr>
          <w:sz w:val="20"/>
        </w:rPr>
      </w:pPr>
      <w:r>
        <w:rPr>
          <w:sz w:val="20"/>
        </w:rPr>
        <w:t>Encuestas</w:t>
      </w:r>
      <w:r>
        <w:rPr>
          <w:spacing w:val="-8"/>
          <w:sz w:val="20"/>
        </w:rPr>
        <w:t> </w:t>
      </w:r>
      <w:r>
        <w:rPr>
          <w:sz w:val="20"/>
        </w:rPr>
        <w:t>de</w:t>
      </w:r>
      <w:r>
        <w:rPr>
          <w:spacing w:val="-6"/>
          <w:sz w:val="20"/>
        </w:rPr>
        <w:t> </w:t>
      </w:r>
      <w:r>
        <w:rPr>
          <w:sz w:val="20"/>
        </w:rPr>
        <w:t>inseguridad</w:t>
      </w:r>
      <w:r>
        <w:rPr>
          <w:spacing w:val="-8"/>
          <w:sz w:val="20"/>
        </w:rPr>
        <w:t> </w:t>
      </w:r>
      <w:r>
        <w:rPr>
          <w:sz w:val="20"/>
        </w:rPr>
        <w:t>y</w:t>
      </w:r>
      <w:r>
        <w:rPr>
          <w:spacing w:val="-7"/>
          <w:sz w:val="20"/>
        </w:rPr>
        <w:t> </w:t>
      </w:r>
      <w:r>
        <w:rPr>
          <w:sz w:val="20"/>
        </w:rPr>
        <w:t>de</w:t>
      </w:r>
      <w:r>
        <w:rPr>
          <w:spacing w:val="-9"/>
          <w:sz w:val="20"/>
        </w:rPr>
        <w:t> </w:t>
      </w:r>
      <w:r>
        <w:rPr>
          <w:sz w:val="20"/>
        </w:rPr>
        <w:t>victimización;</w:t>
      </w:r>
      <w:r>
        <w:rPr>
          <w:spacing w:val="-9"/>
          <w:sz w:val="20"/>
        </w:rPr>
        <w:t> </w:t>
      </w:r>
      <w:r>
        <w:rPr>
          <w:spacing w:val="-10"/>
          <w:sz w:val="20"/>
        </w:rPr>
        <w:t>y</w:t>
      </w:r>
    </w:p>
    <w:p>
      <w:pPr>
        <w:pStyle w:val="ListParagraph"/>
        <w:numPr>
          <w:ilvl w:val="1"/>
          <w:numId w:val="4"/>
        </w:numPr>
        <w:tabs>
          <w:tab w:pos="295" w:val="left" w:leader="none"/>
        </w:tabs>
        <w:spacing w:line="240" w:lineRule="auto" w:before="228" w:after="0"/>
        <w:ind w:left="295" w:right="0" w:hanging="177"/>
        <w:jc w:val="left"/>
        <w:rPr>
          <w:sz w:val="20"/>
        </w:rPr>
      </w:pPr>
      <w:r>
        <w:rPr>
          <w:sz w:val="20"/>
        </w:rPr>
        <w:t>Diagnósticos</w:t>
      </w:r>
      <w:r>
        <w:rPr>
          <w:spacing w:val="-11"/>
          <w:sz w:val="20"/>
        </w:rPr>
        <w:t> </w:t>
      </w:r>
      <w:r>
        <w:rPr>
          <w:sz w:val="20"/>
        </w:rPr>
        <w:t>socio</w:t>
      </w:r>
      <w:r>
        <w:rPr>
          <w:spacing w:val="-12"/>
          <w:sz w:val="20"/>
        </w:rPr>
        <w:t> </w:t>
      </w:r>
      <w:r>
        <w:rPr>
          <w:spacing w:val="-2"/>
          <w:sz w:val="20"/>
        </w:rPr>
        <w:t>demográficos.</w:t>
      </w:r>
    </w:p>
    <w:p>
      <w:pPr>
        <w:pStyle w:val="BodyText"/>
        <w:spacing w:before="1"/>
      </w:pPr>
    </w:p>
    <w:p>
      <w:pPr>
        <w:pStyle w:val="ListParagraph"/>
        <w:numPr>
          <w:ilvl w:val="0"/>
          <w:numId w:val="4"/>
        </w:numPr>
        <w:tabs>
          <w:tab w:pos="529" w:val="left" w:leader="none"/>
        </w:tabs>
        <w:spacing w:line="240" w:lineRule="auto" w:before="0" w:after="0"/>
        <w:ind w:left="118" w:right="127" w:firstLine="0"/>
        <w:jc w:val="left"/>
        <w:rPr>
          <w:sz w:val="20"/>
        </w:rPr>
      </w:pPr>
      <w:r>
        <w:rPr>
          <w:sz w:val="20"/>
        </w:rPr>
        <w:t>Promover la inclusión de</w:t>
      </w:r>
      <w:r>
        <w:rPr>
          <w:spacing w:val="-3"/>
          <w:sz w:val="20"/>
        </w:rPr>
        <w:t> </w:t>
      </w:r>
      <w:r>
        <w:rPr>
          <w:sz w:val="20"/>
        </w:rPr>
        <w:t>contenidos</w:t>
      </w:r>
      <w:r>
        <w:rPr>
          <w:spacing w:val="-1"/>
          <w:sz w:val="20"/>
        </w:rPr>
        <w:t> </w:t>
      </w:r>
      <w:r>
        <w:rPr>
          <w:sz w:val="20"/>
        </w:rPr>
        <w:t>relativos</w:t>
      </w:r>
      <w:r>
        <w:rPr>
          <w:spacing w:val="-1"/>
          <w:sz w:val="20"/>
        </w:rPr>
        <w:t> </w:t>
      </w:r>
      <w:r>
        <w:rPr>
          <w:sz w:val="20"/>
        </w:rPr>
        <w:t>a la prevención del</w:t>
      </w:r>
      <w:r>
        <w:rPr>
          <w:spacing w:val="-1"/>
          <w:sz w:val="20"/>
        </w:rPr>
        <w:t> </w:t>
      </w:r>
      <w:r>
        <w:rPr>
          <w:sz w:val="20"/>
        </w:rPr>
        <w:t>delito en los</w:t>
      </w:r>
      <w:r>
        <w:rPr>
          <w:spacing w:val="-1"/>
          <w:sz w:val="20"/>
        </w:rPr>
        <w:t> </w:t>
      </w:r>
      <w:r>
        <w:rPr>
          <w:sz w:val="20"/>
        </w:rPr>
        <w:t>programas</w:t>
      </w:r>
      <w:r>
        <w:rPr>
          <w:spacing w:val="-1"/>
          <w:sz w:val="20"/>
        </w:rPr>
        <w:t> </w:t>
      </w:r>
      <w:r>
        <w:rPr>
          <w:sz w:val="20"/>
        </w:rPr>
        <w:t>educativos, de salud y de desarrollo social;</w:t>
      </w:r>
    </w:p>
    <w:p>
      <w:pPr>
        <w:pStyle w:val="ListParagraph"/>
        <w:numPr>
          <w:ilvl w:val="0"/>
          <w:numId w:val="4"/>
        </w:numPr>
        <w:tabs>
          <w:tab w:pos="415" w:val="left" w:leader="none"/>
        </w:tabs>
        <w:spacing w:line="240" w:lineRule="auto" w:before="229" w:after="0"/>
        <w:ind w:left="415" w:right="0" w:hanging="297"/>
        <w:jc w:val="left"/>
        <w:rPr>
          <w:sz w:val="20"/>
        </w:rPr>
      </w:pPr>
      <w:r>
        <w:rPr>
          <w:sz w:val="20"/>
        </w:rPr>
        <w:t>Organizar</w:t>
      </w:r>
      <w:r>
        <w:rPr>
          <w:spacing w:val="-8"/>
          <w:sz w:val="20"/>
        </w:rPr>
        <w:t> </w:t>
      </w:r>
      <w:r>
        <w:rPr>
          <w:sz w:val="20"/>
        </w:rPr>
        <w:t>cursos,</w:t>
      </w:r>
      <w:r>
        <w:rPr>
          <w:spacing w:val="-8"/>
          <w:sz w:val="20"/>
        </w:rPr>
        <w:t> </w:t>
      </w:r>
      <w:r>
        <w:rPr>
          <w:sz w:val="20"/>
        </w:rPr>
        <w:t>congresos,</w:t>
      </w:r>
      <w:r>
        <w:rPr>
          <w:spacing w:val="-8"/>
          <w:sz w:val="20"/>
        </w:rPr>
        <w:t> </w:t>
      </w:r>
      <w:r>
        <w:rPr>
          <w:sz w:val="20"/>
        </w:rPr>
        <w:t>seminarios,</w:t>
      </w:r>
      <w:r>
        <w:rPr>
          <w:spacing w:val="-8"/>
          <w:sz w:val="20"/>
        </w:rPr>
        <w:t> </w:t>
      </w:r>
      <w:r>
        <w:rPr>
          <w:sz w:val="20"/>
        </w:rPr>
        <w:t>talleres</w:t>
      </w:r>
      <w:r>
        <w:rPr>
          <w:spacing w:val="-7"/>
          <w:sz w:val="20"/>
        </w:rPr>
        <w:t> </w:t>
      </w:r>
      <w:r>
        <w:rPr>
          <w:sz w:val="20"/>
        </w:rPr>
        <w:t>y</w:t>
      </w:r>
      <w:r>
        <w:rPr>
          <w:spacing w:val="-7"/>
          <w:sz w:val="20"/>
        </w:rPr>
        <w:t> </w:t>
      </w:r>
      <w:r>
        <w:rPr>
          <w:sz w:val="20"/>
        </w:rPr>
        <w:t>conferencias</w:t>
      </w:r>
      <w:r>
        <w:rPr>
          <w:spacing w:val="-7"/>
          <w:sz w:val="20"/>
        </w:rPr>
        <w:t> </w:t>
      </w:r>
      <w:r>
        <w:rPr>
          <w:sz w:val="20"/>
        </w:rPr>
        <w:t>sobre</w:t>
      </w:r>
      <w:r>
        <w:rPr>
          <w:spacing w:val="-6"/>
          <w:sz w:val="20"/>
        </w:rPr>
        <w:t> </w:t>
      </w:r>
      <w:r>
        <w:rPr>
          <w:sz w:val="20"/>
        </w:rPr>
        <w:t>prevención</w:t>
      </w:r>
      <w:r>
        <w:rPr>
          <w:spacing w:val="-9"/>
          <w:sz w:val="20"/>
        </w:rPr>
        <w:t> </w:t>
      </w:r>
      <w:r>
        <w:rPr>
          <w:sz w:val="20"/>
        </w:rPr>
        <w:t>del</w:t>
      </w:r>
      <w:r>
        <w:rPr>
          <w:spacing w:val="-7"/>
          <w:sz w:val="20"/>
        </w:rPr>
        <w:t> </w:t>
      </w:r>
      <w:r>
        <w:rPr>
          <w:spacing w:val="-2"/>
          <w:sz w:val="20"/>
        </w:rPr>
        <w:t>delito;</w:t>
      </w:r>
    </w:p>
    <w:p>
      <w:pPr>
        <w:spacing w:after="0" w:line="240" w:lineRule="auto"/>
        <w:jc w:val="left"/>
        <w:rPr>
          <w:sz w:val="20"/>
        </w:rPr>
        <w:sectPr>
          <w:pgSz w:w="12250" w:h="15820"/>
          <w:pgMar w:header="0" w:footer="928" w:top="1680" w:bottom="1120" w:left="1300" w:right="1300"/>
        </w:sectPr>
      </w:pPr>
    </w:p>
    <w:p>
      <w:pPr>
        <w:pStyle w:val="ListParagraph"/>
        <w:numPr>
          <w:ilvl w:val="0"/>
          <w:numId w:val="4"/>
        </w:numPr>
        <w:tabs>
          <w:tab w:pos="369" w:val="left" w:leader="none"/>
        </w:tabs>
        <w:spacing w:line="240" w:lineRule="auto" w:before="6" w:after="0"/>
        <w:ind w:left="118" w:right="123" w:firstLine="0"/>
        <w:jc w:val="both"/>
        <w:rPr>
          <w:sz w:val="20"/>
        </w:rPr>
      </w:pPr>
      <w:r>
        <w:rPr>
          <w:sz w:val="20"/>
        </w:rPr>
        <w:t>Promover la participación comunitaria, partiendo de la familia, involucrando a la escuela y movilizando a la comunidad para evaluar los resultados de las políticas en materia de prevención del delito, y así generar credibilidad, compromiso y control;</w:t>
      </w:r>
    </w:p>
    <w:p>
      <w:pPr>
        <w:pStyle w:val="ListParagraph"/>
        <w:numPr>
          <w:ilvl w:val="0"/>
          <w:numId w:val="4"/>
        </w:numPr>
        <w:tabs>
          <w:tab w:pos="429" w:val="left" w:leader="none"/>
        </w:tabs>
        <w:spacing w:line="240" w:lineRule="auto" w:before="230" w:after="0"/>
        <w:ind w:left="118" w:right="128" w:firstLine="0"/>
        <w:jc w:val="both"/>
        <w:rPr>
          <w:sz w:val="20"/>
        </w:rPr>
      </w:pPr>
      <w:r>
        <w:rPr>
          <w:sz w:val="20"/>
        </w:rPr>
        <w:t>Llevar a cabo campañas y programas de sensibilización y proporcionar la información y capacitación sobre prevención del delito;</w:t>
      </w:r>
    </w:p>
    <w:p>
      <w:pPr>
        <w:pStyle w:val="ListParagraph"/>
        <w:numPr>
          <w:ilvl w:val="0"/>
          <w:numId w:val="4"/>
        </w:numPr>
        <w:tabs>
          <w:tab w:pos="523" w:val="left" w:leader="none"/>
        </w:tabs>
        <w:spacing w:line="240" w:lineRule="auto" w:before="228" w:after="0"/>
        <w:ind w:left="118" w:right="126" w:firstLine="0"/>
        <w:jc w:val="both"/>
        <w:rPr>
          <w:sz w:val="20"/>
        </w:rPr>
      </w:pPr>
      <w:r>
        <w:rPr>
          <w:sz w:val="20"/>
        </w:rPr>
        <w:t>Celebrar convenios para la formación, capacitación, especialización y actualización de recursos humanos cuyas funciones incidan en la prevención del delito;</w:t>
      </w:r>
    </w:p>
    <w:p>
      <w:pPr>
        <w:pStyle w:val="BodyText"/>
        <w:spacing w:before="1"/>
      </w:pPr>
    </w:p>
    <w:p>
      <w:pPr>
        <w:pStyle w:val="ListParagraph"/>
        <w:numPr>
          <w:ilvl w:val="0"/>
          <w:numId w:val="4"/>
        </w:numPr>
        <w:tabs>
          <w:tab w:pos="541" w:val="left" w:leader="none"/>
        </w:tabs>
        <w:spacing w:line="240" w:lineRule="auto" w:before="1" w:after="0"/>
        <w:ind w:left="118" w:right="113" w:firstLine="0"/>
        <w:jc w:val="both"/>
        <w:rPr>
          <w:sz w:val="20"/>
        </w:rPr>
      </w:pPr>
      <w:r>
        <w:rPr>
          <w:sz w:val="20"/>
        </w:rPr>
        <w:t>Fomentar, en coordinación con instituciones especializadas, la realización de investigaciones sobre</w:t>
      </w:r>
      <w:r>
        <w:rPr>
          <w:spacing w:val="40"/>
          <w:sz w:val="20"/>
        </w:rPr>
        <w:t> </w:t>
      </w:r>
      <w:r>
        <w:rPr>
          <w:sz w:val="20"/>
        </w:rPr>
        <w:t>el fenómeno delictivo, cuyos resultados servirán como insumos para diseñar políticas públicas para la prevención del delito;</w:t>
      </w:r>
    </w:p>
    <w:p>
      <w:pPr>
        <w:pStyle w:val="ListParagraph"/>
        <w:numPr>
          <w:ilvl w:val="0"/>
          <w:numId w:val="4"/>
        </w:numPr>
        <w:tabs>
          <w:tab w:pos="592" w:val="left" w:leader="none"/>
        </w:tabs>
        <w:spacing w:line="240" w:lineRule="auto" w:before="229" w:after="0"/>
        <w:ind w:left="118" w:right="123" w:firstLine="0"/>
        <w:jc w:val="both"/>
        <w:rPr>
          <w:sz w:val="20"/>
        </w:rPr>
      </w:pPr>
      <w:r>
        <w:rPr>
          <w:sz w:val="20"/>
        </w:rPr>
        <w:t>En base los estudios señalados en la fracción VII, elaborar mapas de riesgo sobre violencia y delincuencia, en colaboración con las dependencias en materia de Seguridad Pública Estatal y Municipales, correlacionándolos con las condiciones sociales, económicas y educativas de las localidades; y</w:t>
      </w:r>
    </w:p>
    <w:p>
      <w:pPr>
        <w:pStyle w:val="BodyText"/>
      </w:pPr>
    </w:p>
    <w:p>
      <w:pPr>
        <w:pStyle w:val="BodyText"/>
        <w:ind w:left="118"/>
        <w:jc w:val="both"/>
      </w:pPr>
      <w:r>
        <w:rPr/>
        <w:t>XV.-</w:t>
      </w:r>
      <w:r>
        <w:rPr>
          <w:spacing w:val="-6"/>
        </w:rPr>
        <w:t> </w:t>
      </w:r>
      <w:r>
        <w:rPr/>
        <w:t>Las</w:t>
      </w:r>
      <w:r>
        <w:rPr>
          <w:spacing w:val="-6"/>
        </w:rPr>
        <w:t> </w:t>
      </w:r>
      <w:r>
        <w:rPr/>
        <w:t>demás</w:t>
      </w:r>
      <w:r>
        <w:rPr>
          <w:spacing w:val="-7"/>
        </w:rPr>
        <w:t> </w:t>
      </w:r>
      <w:r>
        <w:rPr/>
        <w:t>que</w:t>
      </w:r>
      <w:r>
        <w:rPr>
          <w:spacing w:val="-7"/>
        </w:rPr>
        <w:t> </w:t>
      </w:r>
      <w:r>
        <w:rPr/>
        <w:t>establezcan</w:t>
      </w:r>
      <w:r>
        <w:rPr>
          <w:spacing w:val="-9"/>
        </w:rPr>
        <w:t> </w:t>
      </w:r>
      <w:r>
        <w:rPr/>
        <w:t>otras</w:t>
      </w:r>
      <w:r>
        <w:rPr>
          <w:spacing w:val="-6"/>
        </w:rPr>
        <w:t> </w:t>
      </w:r>
      <w:r>
        <w:rPr/>
        <w:t>disposiciones</w:t>
      </w:r>
      <w:r>
        <w:rPr>
          <w:spacing w:val="-7"/>
        </w:rPr>
        <w:t> </w:t>
      </w:r>
      <w:r>
        <w:rPr/>
        <w:t>legales</w:t>
      </w:r>
      <w:r>
        <w:rPr>
          <w:spacing w:val="-7"/>
        </w:rPr>
        <w:t> </w:t>
      </w:r>
      <w:r>
        <w:rPr/>
        <w:t>y</w:t>
      </w:r>
      <w:r>
        <w:rPr>
          <w:spacing w:val="-7"/>
        </w:rPr>
        <w:t> </w:t>
      </w:r>
      <w:r>
        <w:rPr/>
        <w:t>el</w:t>
      </w:r>
      <w:r>
        <w:rPr>
          <w:spacing w:val="-1"/>
        </w:rPr>
        <w:t> </w:t>
      </w:r>
      <w:r>
        <w:rPr/>
        <w:t>Presidente</w:t>
      </w:r>
      <w:r>
        <w:rPr>
          <w:spacing w:val="-7"/>
        </w:rPr>
        <w:t> </w:t>
      </w:r>
      <w:r>
        <w:rPr/>
        <w:t>del</w:t>
      </w:r>
      <w:r>
        <w:rPr>
          <w:spacing w:val="-5"/>
        </w:rPr>
        <w:t> </w:t>
      </w:r>
      <w:r>
        <w:rPr>
          <w:spacing w:val="-2"/>
        </w:rPr>
        <w:t>Consejo.</w:t>
      </w:r>
    </w:p>
    <w:p>
      <w:pPr>
        <w:pStyle w:val="BodyText"/>
        <w:spacing w:before="1"/>
      </w:pPr>
    </w:p>
    <w:p>
      <w:pPr>
        <w:pStyle w:val="BodyText"/>
        <w:ind w:left="118" w:right="115"/>
        <w:jc w:val="both"/>
      </w:pPr>
      <w:r>
        <w:rPr/>
        <w:t>Art. 9. El Consejo Estatal de Prevención del Delito funcionará en sesiones cada tres meses de manera ordinaria y tomará sus decisiones por consenso. El Presidente podrá convocar a sesiones extraordinarias cuando lo estime necesario.</w:t>
      </w:r>
    </w:p>
    <w:p>
      <w:pPr>
        <w:pStyle w:val="BodyText"/>
        <w:spacing w:before="229"/>
        <w:ind w:left="118"/>
        <w:jc w:val="both"/>
      </w:pPr>
      <w:r>
        <w:rPr/>
        <w:t>El</w:t>
      </w:r>
      <w:r>
        <w:rPr>
          <w:spacing w:val="-8"/>
        </w:rPr>
        <w:t> </w:t>
      </w:r>
      <w:r>
        <w:rPr/>
        <w:t>secretario</w:t>
      </w:r>
      <w:r>
        <w:rPr>
          <w:spacing w:val="-8"/>
        </w:rPr>
        <w:t> </w:t>
      </w:r>
      <w:r>
        <w:rPr/>
        <w:t>técnico</w:t>
      </w:r>
      <w:r>
        <w:rPr>
          <w:spacing w:val="-5"/>
        </w:rPr>
        <w:t> </w:t>
      </w:r>
      <w:r>
        <w:rPr/>
        <w:t>dará</w:t>
      </w:r>
      <w:r>
        <w:rPr>
          <w:spacing w:val="-4"/>
        </w:rPr>
        <w:t> </w:t>
      </w:r>
      <w:r>
        <w:rPr/>
        <w:t>a</w:t>
      </w:r>
      <w:r>
        <w:rPr>
          <w:spacing w:val="-5"/>
        </w:rPr>
        <w:t> </w:t>
      </w:r>
      <w:r>
        <w:rPr/>
        <w:t>conocer</w:t>
      </w:r>
      <w:r>
        <w:rPr>
          <w:spacing w:val="-7"/>
        </w:rPr>
        <w:t> </w:t>
      </w:r>
      <w:r>
        <w:rPr/>
        <w:t>el</w:t>
      </w:r>
      <w:r>
        <w:rPr>
          <w:spacing w:val="-8"/>
        </w:rPr>
        <w:t> </w:t>
      </w:r>
      <w:r>
        <w:rPr/>
        <w:t>calendario</w:t>
      </w:r>
      <w:r>
        <w:rPr>
          <w:spacing w:val="-4"/>
        </w:rPr>
        <w:t> </w:t>
      </w:r>
      <w:r>
        <w:rPr/>
        <w:t>de</w:t>
      </w:r>
      <w:r>
        <w:rPr>
          <w:spacing w:val="-8"/>
        </w:rPr>
        <w:t> </w:t>
      </w:r>
      <w:r>
        <w:rPr/>
        <w:t>reuniones</w:t>
      </w:r>
      <w:r>
        <w:rPr>
          <w:spacing w:val="-6"/>
        </w:rPr>
        <w:t> </w:t>
      </w:r>
      <w:r>
        <w:rPr/>
        <w:t>en</w:t>
      </w:r>
      <w:r>
        <w:rPr>
          <w:spacing w:val="-6"/>
        </w:rPr>
        <w:t> </w:t>
      </w:r>
      <w:r>
        <w:rPr/>
        <w:t>la</w:t>
      </w:r>
      <w:r>
        <w:rPr>
          <w:spacing w:val="-4"/>
        </w:rPr>
        <w:t> </w:t>
      </w:r>
      <w:r>
        <w:rPr/>
        <w:t>primera</w:t>
      </w:r>
      <w:r>
        <w:rPr>
          <w:spacing w:val="-7"/>
        </w:rPr>
        <w:t> </w:t>
      </w:r>
      <w:r>
        <w:rPr/>
        <w:t>sesión</w:t>
      </w:r>
      <w:r>
        <w:rPr>
          <w:spacing w:val="-8"/>
        </w:rPr>
        <w:t> </w:t>
      </w:r>
      <w:r>
        <w:rPr/>
        <w:t>del</w:t>
      </w:r>
      <w:r>
        <w:rPr>
          <w:spacing w:val="-5"/>
        </w:rPr>
        <w:t> </w:t>
      </w:r>
      <w:r>
        <w:rPr>
          <w:spacing w:val="-4"/>
        </w:rPr>
        <w:t>año.</w:t>
      </w:r>
    </w:p>
    <w:p>
      <w:pPr>
        <w:pStyle w:val="BodyText"/>
      </w:pPr>
    </w:p>
    <w:p>
      <w:pPr>
        <w:pStyle w:val="BodyText"/>
        <w:spacing w:before="1"/>
      </w:pPr>
    </w:p>
    <w:p>
      <w:pPr>
        <w:spacing w:before="1"/>
        <w:ind w:left="2636" w:right="26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0" w:right="5"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5"/>
          <w:sz w:val="20"/>
        </w:rPr>
        <w:t> </w:t>
      </w:r>
      <w:r>
        <w:rPr>
          <w:rFonts w:ascii="Arial" w:hAnsi="Arial"/>
          <w:b/>
          <w:sz w:val="20"/>
        </w:rPr>
        <w:t>CONSEJOS</w:t>
      </w:r>
      <w:r>
        <w:rPr>
          <w:rFonts w:ascii="Arial" w:hAnsi="Arial"/>
          <w:b/>
          <w:spacing w:val="-8"/>
          <w:sz w:val="20"/>
        </w:rPr>
        <w:t> </w:t>
      </w:r>
      <w:r>
        <w:rPr>
          <w:rFonts w:ascii="Arial" w:hAnsi="Arial"/>
          <w:b/>
          <w:sz w:val="20"/>
        </w:rPr>
        <w:t>REGIONALES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PREVENCIÓN</w:t>
      </w:r>
      <w:r>
        <w:rPr>
          <w:rFonts w:ascii="Arial" w:hAnsi="Arial"/>
          <w:b/>
          <w:spacing w:val="-7"/>
          <w:sz w:val="20"/>
        </w:rPr>
        <w:t> </w:t>
      </w:r>
      <w:r>
        <w:rPr>
          <w:rFonts w:ascii="Arial" w:hAnsi="Arial"/>
          <w:b/>
          <w:sz w:val="20"/>
        </w:rPr>
        <w:t>DEL</w:t>
      </w:r>
      <w:r>
        <w:rPr>
          <w:rFonts w:ascii="Arial" w:hAnsi="Arial"/>
          <w:b/>
          <w:spacing w:val="-7"/>
          <w:sz w:val="20"/>
        </w:rPr>
        <w:t> </w:t>
      </w:r>
      <w:r>
        <w:rPr>
          <w:rFonts w:ascii="Arial" w:hAnsi="Arial"/>
          <w:b/>
          <w:spacing w:val="-2"/>
          <w:sz w:val="20"/>
        </w:rPr>
        <w:t>DELITO</w:t>
      </w:r>
    </w:p>
    <w:p>
      <w:pPr>
        <w:pStyle w:val="BodyText"/>
        <w:spacing w:before="229"/>
        <w:ind w:left="118" w:right="114"/>
        <w:jc w:val="both"/>
      </w:pPr>
      <w:r>
        <w:rPr/>
        <w:t>Art. 10. En caso de que dos o más municipios presenten problemas de inseguridad similares, podrán formar</w:t>
      </w:r>
      <w:r>
        <w:rPr>
          <w:spacing w:val="-3"/>
        </w:rPr>
        <w:t> </w:t>
      </w:r>
      <w:r>
        <w:rPr/>
        <w:t>un</w:t>
      </w:r>
      <w:r>
        <w:rPr>
          <w:spacing w:val="-3"/>
        </w:rPr>
        <w:t> </w:t>
      </w:r>
      <w:r>
        <w:rPr/>
        <w:t>consejo</w:t>
      </w:r>
      <w:r>
        <w:rPr>
          <w:spacing w:val="-1"/>
        </w:rPr>
        <w:t> </w:t>
      </w:r>
      <w:r>
        <w:rPr/>
        <w:t>regional</w:t>
      </w:r>
      <w:r>
        <w:rPr>
          <w:spacing w:val="-2"/>
        </w:rPr>
        <w:t> </w:t>
      </w:r>
      <w:r>
        <w:rPr/>
        <w:t>de</w:t>
      </w:r>
      <w:r>
        <w:rPr>
          <w:spacing w:val="-4"/>
        </w:rPr>
        <w:t> </w:t>
      </w:r>
      <w:r>
        <w:rPr/>
        <w:t>prevención</w:t>
      </w:r>
      <w:r>
        <w:rPr>
          <w:spacing w:val="-3"/>
        </w:rPr>
        <w:t> </w:t>
      </w:r>
      <w:r>
        <w:rPr/>
        <w:t>del</w:t>
      </w:r>
      <w:r>
        <w:rPr>
          <w:spacing w:val="-2"/>
        </w:rPr>
        <w:t> </w:t>
      </w:r>
      <w:r>
        <w:rPr/>
        <w:t>delito,</w:t>
      </w:r>
      <w:r>
        <w:rPr>
          <w:spacing w:val="-1"/>
        </w:rPr>
        <w:t> </w:t>
      </w:r>
      <w:r>
        <w:rPr/>
        <w:t>que</w:t>
      </w:r>
      <w:r>
        <w:rPr>
          <w:spacing w:val="-3"/>
        </w:rPr>
        <w:t> </w:t>
      </w:r>
      <w:r>
        <w:rPr/>
        <w:t>contará</w:t>
      </w:r>
      <w:r>
        <w:rPr>
          <w:spacing w:val="-3"/>
        </w:rPr>
        <w:t> </w:t>
      </w:r>
      <w:r>
        <w:rPr/>
        <w:t>con</w:t>
      </w:r>
      <w:r>
        <w:rPr>
          <w:spacing w:val="-1"/>
        </w:rPr>
        <w:t> </w:t>
      </w:r>
      <w:r>
        <w:rPr/>
        <w:t>la</w:t>
      </w:r>
      <w:r>
        <w:rPr>
          <w:spacing w:val="-1"/>
        </w:rPr>
        <w:t> </w:t>
      </w:r>
      <w:r>
        <w:rPr/>
        <w:t>asesoría</w:t>
      </w:r>
      <w:r>
        <w:rPr>
          <w:spacing w:val="-1"/>
        </w:rPr>
        <w:t> </w:t>
      </w:r>
      <w:r>
        <w:rPr/>
        <w:t>del</w:t>
      </w:r>
      <w:r>
        <w:rPr>
          <w:spacing w:val="-4"/>
        </w:rPr>
        <w:t> </w:t>
      </w:r>
      <w:r>
        <w:rPr/>
        <w:t>Consejo</w:t>
      </w:r>
      <w:r>
        <w:rPr>
          <w:spacing w:val="-1"/>
        </w:rPr>
        <w:t> </w:t>
      </w:r>
      <w:r>
        <w:rPr/>
        <w:t>Estatal,</w:t>
      </w:r>
      <w:r>
        <w:rPr>
          <w:spacing w:val="-1"/>
        </w:rPr>
        <w:t> </w:t>
      </w:r>
      <w:r>
        <w:rPr/>
        <w:t>para llevar a cabo diagnósticos regionales y para el diseño, implementación, evaluación y supervisión de las políticas públicas en materia de prevención del delito.</w:t>
      </w:r>
    </w:p>
    <w:p>
      <w:pPr>
        <w:pStyle w:val="BodyText"/>
        <w:spacing w:before="229"/>
        <w:ind w:left="118" w:right="116"/>
        <w:jc w:val="both"/>
      </w:pPr>
      <w:r>
        <w:rPr/>
        <w:t>Art. 11. Los consejos regionales funcionarán con las mismas características del consejo estatal y tendrán una presidencia rotativa anual, que corresponderá a cada uno de los presidentes municipales que conformen la región.</w:t>
      </w:r>
    </w:p>
    <w:p>
      <w:pPr>
        <w:pStyle w:val="BodyText"/>
        <w:spacing w:before="2"/>
      </w:pPr>
    </w:p>
    <w:p>
      <w:pPr>
        <w:pStyle w:val="BodyText"/>
        <w:ind w:left="118" w:right="117"/>
        <w:jc w:val="both"/>
      </w:pPr>
      <w:r>
        <w:rPr/>
        <w:t>Art. 12. Podrán crearse mesas de trabajo con personas que estén calificadas a nivel Municipal y de barrios, a fin de diseñar estrategias locales que fijen los objetivos, prioridades, tiempos, recursos, resultados esperados, calendario de acción, responsables e instituciones involucradas, formuladas a</w:t>
      </w:r>
      <w:r>
        <w:rPr>
          <w:spacing w:val="40"/>
        </w:rPr>
        <w:t> </w:t>
      </w:r>
      <w:r>
        <w:rPr/>
        <w:t>partir de los resultados de un diagnóstico de la inseguridad local.</w:t>
      </w:r>
    </w:p>
    <w:p>
      <w:pPr>
        <w:pStyle w:val="BodyText"/>
      </w:pPr>
    </w:p>
    <w:p>
      <w:pPr>
        <w:pStyle w:val="BodyText"/>
        <w:spacing w:before="1"/>
      </w:pPr>
    </w:p>
    <w:p>
      <w:pPr>
        <w:spacing w:line="229" w:lineRule="exact" w:before="0"/>
        <w:ind w:left="2636" w:right="263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2" w:right="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COORDINACIÓN</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PROGRAMAS</w:t>
      </w:r>
      <w:r>
        <w:rPr>
          <w:rFonts w:ascii="Arial" w:hAnsi="Arial"/>
          <w:b/>
          <w:spacing w:val="-7"/>
          <w:sz w:val="20"/>
        </w:rPr>
        <w:t> </w:t>
      </w:r>
      <w:r>
        <w:rPr>
          <w:rFonts w:ascii="Arial" w:hAnsi="Arial"/>
          <w:b/>
          <w:spacing w:val="-2"/>
          <w:sz w:val="20"/>
        </w:rPr>
        <w:t>INSTITUCIONALES</w:t>
      </w:r>
    </w:p>
    <w:p>
      <w:pPr>
        <w:pStyle w:val="BodyText"/>
        <w:spacing w:before="1"/>
        <w:rPr>
          <w:rFonts w:ascii="Arial"/>
          <w:b/>
        </w:rPr>
      </w:pPr>
    </w:p>
    <w:p>
      <w:pPr>
        <w:pStyle w:val="BodyText"/>
        <w:ind w:left="118" w:right="113"/>
        <w:jc w:val="both"/>
      </w:pPr>
      <w:r>
        <w:rPr/>
        <w:t>Art. 13. Los programas de las instituciones que conforman el Consejo Estatal que incidan en la</w:t>
      </w:r>
      <w:r>
        <w:rPr>
          <w:spacing w:val="40"/>
        </w:rPr>
        <w:t> </w:t>
      </w:r>
      <w:r>
        <w:rPr/>
        <w:t>prevención del delito deberán diseñarse considerando la participación interinstitucional con enfoque multidisciplinario y se orientarán a contrarrestar, nulificar o disminuir los factores criminógenos, las consecuencias, daño e impacto social del delito.</w:t>
      </w:r>
    </w:p>
    <w:p>
      <w:pPr>
        <w:spacing w:after="0"/>
        <w:jc w:val="both"/>
        <w:sectPr>
          <w:pgSz w:w="12250" w:h="15820"/>
          <w:pgMar w:header="0" w:footer="928" w:top="1680" w:bottom="1120" w:left="1300" w:right="1300"/>
        </w:sectPr>
      </w:pPr>
    </w:p>
    <w:p>
      <w:pPr>
        <w:pStyle w:val="BodyText"/>
        <w:spacing w:before="6"/>
        <w:ind w:left="118" w:right="126"/>
        <w:jc w:val="both"/>
      </w:pPr>
      <w:r>
        <w:rPr/>
        <w:t>Los programas institucionales tenderán a lograr un efecto multiplicador, fomentando la participación de</w:t>
      </w:r>
      <w:r>
        <w:rPr>
          <w:spacing w:val="40"/>
        </w:rPr>
        <w:t> </w:t>
      </w:r>
      <w:r>
        <w:rPr/>
        <w:t>las autoridades de los tres niveles de gobierno y de las organizaciones civiles, académicas y</w:t>
      </w:r>
      <w:r>
        <w:rPr>
          <w:spacing w:val="40"/>
        </w:rPr>
        <w:t> </w:t>
      </w:r>
      <w:r>
        <w:rPr>
          <w:spacing w:val="-2"/>
        </w:rPr>
        <w:t>comunitarias.</w:t>
      </w:r>
    </w:p>
    <w:p>
      <w:pPr>
        <w:pStyle w:val="BodyText"/>
        <w:spacing w:before="230"/>
        <w:ind w:left="118" w:right="122"/>
        <w:jc w:val="both"/>
      </w:pPr>
      <w:r>
        <w:rPr/>
        <w:t>Art. 13 Bis. – Los programas, fondos y recursos destinados a la prevención del delito son prioritarios y de interés público, por lo cual no podrán sufrir disminuciones en sus montos presupuestales, excepto en los casos y términos que establezca el Congreso del Estado al aprobar el Presupuesto de Egresos.</w:t>
      </w:r>
    </w:p>
    <w:p>
      <w:pPr>
        <w:pStyle w:val="BodyText"/>
        <w:spacing w:before="229"/>
        <w:ind w:left="118" w:right="113"/>
        <w:jc w:val="both"/>
      </w:pPr>
      <w:r>
        <w:rPr/>
        <w:t>El presupuesto estatal</w:t>
      </w:r>
      <w:r>
        <w:rPr>
          <w:spacing w:val="-1"/>
        </w:rPr>
        <w:t> </w:t>
      </w:r>
      <w:r>
        <w:rPr/>
        <w:t>destinado a la prevención del</w:t>
      </w:r>
      <w:r>
        <w:rPr>
          <w:spacing w:val="-3"/>
        </w:rPr>
        <w:t> </w:t>
      </w:r>
      <w:r>
        <w:rPr/>
        <w:t>delito no podrá ser inferior, en</w:t>
      </w:r>
      <w:r>
        <w:rPr>
          <w:spacing w:val="-2"/>
        </w:rPr>
        <w:t> </w:t>
      </w:r>
      <w:r>
        <w:rPr/>
        <w:t>términos</w:t>
      </w:r>
      <w:r>
        <w:rPr>
          <w:spacing w:val="-1"/>
        </w:rPr>
        <w:t> </w:t>
      </w:r>
      <w:r>
        <w:rPr/>
        <w:t>reales, al</w:t>
      </w:r>
      <w:r>
        <w:rPr>
          <w:spacing w:val="-1"/>
        </w:rPr>
        <w:t> </w:t>
      </w:r>
      <w:r>
        <w:rPr/>
        <w:t>del año fiscal anterior.</w:t>
      </w:r>
    </w:p>
    <w:p>
      <w:pPr>
        <w:pStyle w:val="BodyText"/>
        <w:spacing w:before="1"/>
      </w:pPr>
    </w:p>
    <w:p>
      <w:pPr>
        <w:pStyle w:val="BodyText"/>
        <w:ind w:left="118" w:right="115"/>
        <w:jc w:val="both"/>
      </w:pPr>
      <w:r>
        <w:rPr/>
        <w:t>Art. 14. A fin de articular al conjunto de políticas sociales en una política de prevención del delito, que cuente con un mecanismo de actualización permanente para su evaluación y control, los programas que desarrollen las instituciones que conforman el Consejo Estatal en materia de seguridad pública, educación, salud, desarrollo social, desarrollo integral de la familia, procuración e impartición de justicia y cultura de la legalidad, serán evaluados conjuntamente con periodicidad semestral, con la asesoría de profesionales y académicos especialistas en la materia.</w:t>
      </w:r>
    </w:p>
    <w:p>
      <w:pPr>
        <w:pStyle w:val="BodyText"/>
        <w:spacing w:before="229"/>
        <w:ind w:left="118" w:right="114"/>
        <w:jc w:val="both"/>
      </w:pPr>
      <w:r>
        <w:rPr/>
        <w:t>Art. 15. En caso de que los resultados de algún programa sean desfavorables, se replantearán las estrategias y acciones, a partir de un diagnóstico de la inseguridad local, para determinar sus causas y el impacto de las respuestas vigentes, conocer las manifestaciones de la delincuencia y sus lugares privilegiados, e identificar los factores de riesgo y discernir las posibles orientaciones de intervención.</w:t>
      </w:r>
    </w:p>
    <w:p>
      <w:pPr>
        <w:pStyle w:val="BodyText"/>
      </w:pPr>
    </w:p>
    <w:p>
      <w:pPr>
        <w:pStyle w:val="BodyText"/>
      </w:pPr>
    </w:p>
    <w:p>
      <w:pPr>
        <w:spacing w:before="0"/>
        <w:ind w:left="2636" w:right="2636"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10"/>
          <w:sz w:val="20"/>
        </w:rPr>
        <w:t>V</w:t>
      </w:r>
    </w:p>
    <w:p>
      <w:pPr>
        <w:spacing w:before="0"/>
        <w:ind w:left="2636" w:right="2636"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ASESORÍA</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pacing w:val="-2"/>
          <w:sz w:val="20"/>
        </w:rPr>
        <w:t>CAPACITACIÓN</w:t>
      </w:r>
    </w:p>
    <w:p>
      <w:pPr>
        <w:pStyle w:val="BodyText"/>
        <w:spacing w:before="1"/>
        <w:rPr>
          <w:rFonts w:ascii="Arial"/>
          <w:b/>
        </w:rPr>
      </w:pPr>
    </w:p>
    <w:p>
      <w:pPr>
        <w:pStyle w:val="BodyText"/>
        <w:ind w:left="118" w:right="116"/>
        <w:jc w:val="both"/>
      </w:pPr>
      <w:r>
        <w:rPr/>
        <w:t>Art. 16. Para el cumplimiento de su objeto, el Consejo Estatal y los Consejos Regionales podrán invitar a sus sesiones a personal especializado en las materias que inciden en la prevención del delito, tanto del sector público como del privado, así como gestionar las consultas necesarias para obtener la asesoría, información, propuestas u opiniones que requieran para fundamentar sus decisiones.</w:t>
      </w:r>
    </w:p>
    <w:p>
      <w:pPr>
        <w:pStyle w:val="BodyText"/>
      </w:pPr>
    </w:p>
    <w:p>
      <w:pPr>
        <w:pStyle w:val="BodyText"/>
        <w:ind w:left="118" w:right="118"/>
        <w:jc w:val="both"/>
      </w:pPr>
      <w:r>
        <w:rPr/>
        <w:t>Art. 17. El consejo podrá celebrar Convenios de Colaboración con Instituciones Gubernamentales Nacionales o Extranjeras, Instituciones Educativas, Organizaciones no Gubernamentales, colegios de profesionistas y academias, para la formación, capacitación, especialización y actualización de recursos humanos cuyas funciones incidan en la prevención del delito.</w:t>
      </w:r>
    </w:p>
    <w:p>
      <w:pPr>
        <w:pStyle w:val="BodyText"/>
      </w:pPr>
    </w:p>
    <w:p>
      <w:pPr>
        <w:pStyle w:val="BodyText"/>
      </w:pPr>
    </w:p>
    <w:p>
      <w:pPr>
        <w:spacing w:before="0"/>
        <w:ind w:left="2636" w:right="263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2636" w:right="2638"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EVALUACIÓN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pacing w:val="-2"/>
          <w:sz w:val="20"/>
        </w:rPr>
        <w:t>RESULTADOS</w:t>
      </w:r>
    </w:p>
    <w:p>
      <w:pPr>
        <w:pStyle w:val="BodyText"/>
        <w:spacing w:before="228"/>
        <w:ind w:left="118" w:right="115"/>
        <w:jc w:val="both"/>
      </w:pPr>
      <w:r>
        <w:rPr/>
        <w:t>Art. 18. El Consejo Estatal evaluará trimestralmente los resultados del Plan Rector para la Prevención del Delito del Estado.</w:t>
      </w:r>
    </w:p>
    <w:p>
      <w:pPr>
        <w:pStyle w:val="BodyText"/>
        <w:spacing w:before="1"/>
      </w:pPr>
    </w:p>
    <w:p>
      <w:pPr>
        <w:pStyle w:val="BodyText"/>
        <w:ind w:left="118" w:right="117"/>
        <w:jc w:val="both"/>
      </w:pPr>
      <w:r>
        <w:rPr/>
        <w:t>Art. 19. Los integrantes del Consejo enviarán al Secretario Técnico un reporte de los resultados de los programas institucionales a su cargo, a más tardar catorce días naturales anteriores a la fecha de la sesión trimestral.</w:t>
      </w:r>
    </w:p>
    <w:p>
      <w:pPr>
        <w:pStyle w:val="BodyText"/>
      </w:pPr>
    </w:p>
    <w:p>
      <w:pPr>
        <w:pStyle w:val="BodyText"/>
        <w:ind w:left="118" w:right="115"/>
        <w:jc w:val="both"/>
      </w:pPr>
      <w:r>
        <w:rPr/>
        <w:t>Art. 20. En las sesiones trimestrales del Consejo Estatal, el secretario técnico rendirá un informe pormenorizado de los logros y avances de los programas institucionales.</w:t>
      </w:r>
    </w:p>
    <w:p>
      <w:pPr>
        <w:pStyle w:val="BodyText"/>
        <w:spacing w:before="229"/>
      </w:pPr>
    </w:p>
    <w:p>
      <w:pPr>
        <w:spacing w:before="1"/>
        <w:ind w:left="2636" w:right="263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2636" w:right="2638"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PARTICIPACIÓN</w:t>
      </w:r>
      <w:r>
        <w:rPr>
          <w:rFonts w:ascii="Arial" w:hAnsi="Arial"/>
          <w:b/>
          <w:spacing w:val="-8"/>
          <w:sz w:val="20"/>
        </w:rPr>
        <w:t> </w:t>
      </w:r>
      <w:r>
        <w:rPr>
          <w:rFonts w:ascii="Arial" w:hAnsi="Arial"/>
          <w:b/>
          <w:spacing w:val="-2"/>
          <w:sz w:val="20"/>
        </w:rPr>
        <w:t>COMUNITARIA</w:t>
      </w:r>
    </w:p>
    <w:p>
      <w:pPr>
        <w:spacing w:after="0"/>
        <w:jc w:val="center"/>
        <w:rPr>
          <w:rFonts w:ascii="Arial" w:hAnsi="Arial"/>
          <w:sz w:val="20"/>
        </w:rPr>
        <w:sectPr>
          <w:pgSz w:w="12250" w:h="15820"/>
          <w:pgMar w:header="0" w:footer="928" w:top="1680" w:bottom="1120" w:left="1300" w:right="1300"/>
        </w:sectPr>
      </w:pPr>
    </w:p>
    <w:p>
      <w:pPr>
        <w:pStyle w:val="BodyText"/>
        <w:spacing w:before="6"/>
        <w:ind w:left="118" w:right="114"/>
        <w:jc w:val="both"/>
      </w:pPr>
      <w:r>
        <w:rPr/>
        <w:t>Art. 21. La participación comunitaria tiene por objeto promover, fomentar, difundir, discutir, analizar y evaluar aspectos vinculados con la prevención del delito, la cultura de la legalidad, la solución de conflictos a través del diálogo, la protección o autoprotección del delito, la denuncia ciudadana y en general,</w:t>
      </w:r>
      <w:r>
        <w:rPr>
          <w:spacing w:val="-1"/>
        </w:rPr>
        <w:t> </w:t>
      </w:r>
      <w:r>
        <w:rPr/>
        <w:t>cualquier actividad</w:t>
      </w:r>
      <w:r>
        <w:rPr>
          <w:spacing w:val="-1"/>
        </w:rPr>
        <w:t> </w:t>
      </w:r>
      <w:r>
        <w:rPr/>
        <w:t>que</w:t>
      </w:r>
      <w:r>
        <w:rPr>
          <w:spacing w:val="-3"/>
        </w:rPr>
        <w:t> </w:t>
      </w:r>
      <w:r>
        <w:rPr/>
        <w:t>se</w:t>
      </w:r>
      <w:r>
        <w:rPr>
          <w:spacing w:val="-1"/>
        </w:rPr>
        <w:t> </w:t>
      </w:r>
      <w:r>
        <w:rPr/>
        <w:t>relacione</w:t>
      </w:r>
      <w:r>
        <w:rPr>
          <w:spacing w:val="-1"/>
        </w:rPr>
        <w:t> </w:t>
      </w:r>
      <w:r>
        <w:rPr/>
        <w:t>con</w:t>
      </w:r>
      <w:r>
        <w:rPr>
          <w:spacing w:val="-1"/>
        </w:rPr>
        <w:t> </w:t>
      </w:r>
      <w:r>
        <w:rPr/>
        <w:t>la</w:t>
      </w:r>
      <w:r>
        <w:rPr>
          <w:spacing w:val="-1"/>
        </w:rPr>
        <w:t> </w:t>
      </w:r>
      <w:r>
        <w:rPr/>
        <w:t>seguridad</w:t>
      </w:r>
      <w:r>
        <w:rPr>
          <w:spacing w:val="-1"/>
        </w:rPr>
        <w:t> </w:t>
      </w:r>
      <w:r>
        <w:rPr/>
        <w:t>pública,</w:t>
      </w:r>
      <w:r>
        <w:rPr>
          <w:spacing w:val="-1"/>
        </w:rPr>
        <w:t> </w:t>
      </w:r>
      <w:r>
        <w:rPr/>
        <w:t>a</w:t>
      </w:r>
      <w:r>
        <w:rPr>
          <w:spacing w:val="-3"/>
        </w:rPr>
        <w:t> </w:t>
      </w:r>
      <w:r>
        <w:rPr/>
        <w:t>fin</w:t>
      </w:r>
      <w:r>
        <w:rPr>
          <w:spacing w:val="-1"/>
        </w:rPr>
        <w:t> </w:t>
      </w:r>
      <w:r>
        <w:rPr/>
        <w:t>de</w:t>
      </w:r>
      <w:r>
        <w:rPr>
          <w:spacing w:val="-3"/>
        </w:rPr>
        <w:t> </w:t>
      </w:r>
      <w:r>
        <w:rPr/>
        <w:t>sensibilizar a</w:t>
      </w:r>
      <w:r>
        <w:rPr>
          <w:spacing w:val="-1"/>
        </w:rPr>
        <w:t> </w:t>
      </w:r>
      <w:r>
        <w:rPr/>
        <w:t>la</w:t>
      </w:r>
      <w:r>
        <w:rPr>
          <w:spacing w:val="-3"/>
        </w:rPr>
        <w:t> </w:t>
      </w:r>
      <w:r>
        <w:rPr/>
        <w:t>ciudadanía sobre la importancia de colaborar con las autoridades, de manera individual u organizada, para el cumplimiento del objeto de esta Ley.</w:t>
      </w:r>
    </w:p>
    <w:p>
      <w:pPr>
        <w:pStyle w:val="BodyText"/>
        <w:spacing w:before="228"/>
        <w:ind w:left="118" w:right="115"/>
        <w:jc w:val="both"/>
      </w:pPr>
      <w:r>
        <w:rPr/>
        <w:t>Art. 22. El Consejo Estatal promoverá la organización ciudadana por medio de redes vecinales,</w:t>
      </w:r>
      <w:r>
        <w:rPr>
          <w:spacing w:val="80"/>
        </w:rPr>
        <w:t> </w:t>
      </w:r>
      <w:r>
        <w:rPr/>
        <w:t>escolares, gremiales y profesionales, para asegurar la participación activa de la comunidad en la planificación, gestión, evaluación y supervisión de las políticas de prevención del delito.</w:t>
      </w:r>
    </w:p>
    <w:p>
      <w:pPr>
        <w:pStyle w:val="BodyText"/>
        <w:spacing w:before="2"/>
      </w:pPr>
    </w:p>
    <w:p>
      <w:pPr>
        <w:pStyle w:val="BodyText"/>
        <w:ind w:left="118" w:right="123"/>
        <w:jc w:val="both"/>
      </w:pPr>
      <w:r>
        <w:rPr/>
        <w:t>Art. 23. Los Consejos Regionales podrán establecer mecanismos para que la comunidad participe en la implementación, seguimiento, evaluación y supervisión de las políticas de prevención del delito.</w:t>
      </w:r>
    </w:p>
    <w:p>
      <w:pPr>
        <w:pStyle w:val="BodyText"/>
        <w:spacing w:before="229"/>
        <w:ind w:left="118" w:right="116"/>
        <w:jc w:val="both"/>
      </w:pPr>
      <w:r>
        <w:rPr/>
        <w:t>Art. 24. Para el cumplimiento de sus objetivos y el desarrollo de sus actividades, las redes mencionadas en el Artículo 21 de esta Ley podrán suscribir con las Autoridades Estatales y/o Municipales, acuerdos comunitarios, con el propósito de generar compromisos de acción tendientes a mejorar las condiciones</w:t>
      </w:r>
      <w:r>
        <w:rPr>
          <w:spacing w:val="40"/>
        </w:rPr>
        <w:t> </w:t>
      </w:r>
      <w:r>
        <w:rPr/>
        <w:t>de seguridad de sus comunidades.</w:t>
      </w:r>
    </w:p>
    <w:p>
      <w:pPr>
        <w:pStyle w:val="BodyText"/>
      </w:pPr>
    </w:p>
    <w:p>
      <w:pPr>
        <w:pStyle w:val="BodyText"/>
        <w:ind w:left="118" w:right="118"/>
        <w:jc w:val="both"/>
      </w:pPr>
      <w:r>
        <w:rPr/>
        <w:t>Art. 25. El Secretario Técnico del Consejo Estatal ejecutará los mecanismos eficaces diseñados por el consejo estatal para asegurar la participación de los ciudadanos en los procesos de formulación e implementación de estrategias locales y para orientar la ejecución de proyectos, recibiendo y turnando a la comisión sus inquietudes, requerimientos y propuestas.</w:t>
      </w:r>
    </w:p>
    <w:p>
      <w:pPr>
        <w:pStyle w:val="BodyText"/>
      </w:pPr>
    </w:p>
    <w:p>
      <w:pPr>
        <w:pStyle w:val="BodyText"/>
        <w:ind w:left="118" w:right="116"/>
        <w:jc w:val="both"/>
      </w:pPr>
      <w:r>
        <w:rPr/>
        <w:t>Art. 26. El Consejo Estatal y los Consejos Regionales deberán dar rápida y adecuada respuesta a las temáticas planteadas a través de la participación comunitaria.</w:t>
      </w:r>
    </w:p>
    <w:p>
      <w:pPr>
        <w:pStyle w:val="BodyText"/>
      </w:pPr>
    </w:p>
    <w:p>
      <w:pPr>
        <w:pStyle w:val="BodyText"/>
        <w:spacing w:before="1"/>
      </w:pPr>
    </w:p>
    <w:p>
      <w:pPr>
        <w:spacing w:before="1"/>
        <w:ind w:left="3834" w:right="3840" w:firstLine="300"/>
        <w:jc w:val="left"/>
        <w:rPr>
          <w:rFonts w:ascii="Arial" w:hAnsi="Arial"/>
          <w:b/>
          <w:sz w:val="20"/>
        </w:rPr>
      </w:pPr>
      <w:r>
        <w:rPr>
          <w:rFonts w:ascii="Arial" w:hAnsi="Arial"/>
          <w:b/>
          <w:sz w:val="20"/>
        </w:rPr>
        <w:t>CAPÍTULO VIII</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SANCIONES</w:t>
      </w:r>
    </w:p>
    <w:p>
      <w:pPr>
        <w:pStyle w:val="BodyText"/>
        <w:spacing w:before="229"/>
        <w:ind w:left="118" w:right="114"/>
        <w:jc w:val="both"/>
      </w:pPr>
      <w:r>
        <w:rPr/>
        <w:t>Art. 27. El incumplimiento en el ejercicio de las obligaciones que se derivan de la presente Ley</w:t>
      </w:r>
      <w:r>
        <w:rPr>
          <w:rFonts w:ascii="Arial" w:hAnsi="Arial"/>
          <w:b/>
        </w:rPr>
        <w:t>, </w:t>
      </w:r>
      <w:r>
        <w:rPr/>
        <w:t>será sancionado de conformidad con la Legislación en materia de responsabilidad de los servidores públicos</w:t>
      </w:r>
      <w:r>
        <w:rPr>
          <w:spacing w:val="80"/>
        </w:rPr>
        <w:t> </w:t>
      </w:r>
      <w:r>
        <w:rPr/>
        <w:t>o, en su defecto, con base en</w:t>
      </w:r>
      <w:r>
        <w:rPr>
          <w:spacing w:val="-1"/>
        </w:rPr>
        <w:t> </w:t>
      </w:r>
      <w:r>
        <w:rPr/>
        <w:t>la Legislación interna aplicable para la Dependencia o Entidad participante.</w:t>
      </w:r>
    </w:p>
    <w:p>
      <w:pPr>
        <w:pStyle w:val="BodyText"/>
        <w:spacing w:before="229"/>
        <w:ind w:left="118" w:right="113"/>
        <w:jc w:val="both"/>
      </w:pPr>
      <w:r>
        <w:rPr/>
        <w:t>Art. 28. Para la imposición de la sanción que sea procedente, el Consejo Estatal dictará el acuerdo específico que así lo determine y lo hará saber al superior jerárquico del infractor, por conducto del Secretario Técnico, para que imponga la consecuencia jurídica que resulte.</w:t>
      </w:r>
    </w:p>
    <w:p>
      <w:pPr>
        <w:pStyle w:val="BodyText"/>
        <w:spacing w:before="2"/>
      </w:pPr>
    </w:p>
    <w:p>
      <w:pPr>
        <w:pStyle w:val="BodyText"/>
        <w:ind w:left="118" w:right="113"/>
        <w:jc w:val="both"/>
      </w:pPr>
      <w:r>
        <w:rPr/>
        <w:t>Art. 29. La Dependencia o Entidad que haya impuesto alguna sanción a sus subordinados con motivo de la aplicación de la presente Ley, deberá informarlo al Consejo Estatal, por conducto de su Secretario Técnico, en la siguiente sesión de este Organismo.</w:t>
      </w:r>
    </w:p>
    <w:p>
      <w:pPr>
        <w:pStyle w:val="BodyText"/>
        <w:spacing w:before="229"/>
      </w:pPr>
    </w:p>
    <w:p>
      <w:pPr>
        <w:spacing w:before="0"/>
        <w:ind w:left="2638" w:right="2636" w:firstLine="0"/>
        <w:jc w:val="center"/>
        <w:rPr>
          <w:rFonts w:ascii="Arial" w:hAnsi="Arial"/>
          <w:b/>
          <w:sz w:val="20"/>
        </w:rPr>
      </w:pPr>
      <w:r>
        <w:rPr>
          <w:rFonts w:ascii="Arial" w:hAnsi="Arial"/>
          <w:b/>
          <w:sz w:val="20"/>
        </w:rPr>
        <w:t>ARTÍCULOS</w:t>
      </w:r>
      <w:r>
        <w:rPr>
          <w:rFonts w:ascii="Arial" w:hAnsi="Arial"/>
          <w:b/>
          <w:spacing w:val="-12"/>
          <w:sz w:val="20"/>
        </w:rPr>
        <w:t> </w:t>
      </w:r>
      <w:r>
        <w:rPr>
          <w:rFonts w:ascii="Arial" w:hAnsi="Arial"/>
          <w:b/>
          <w:spacing w:val="-2"/>
          <w:sz w:val="20"/>
        </w:rPr>
        <w:t>TRANSITORIOS</w:t>
      </w:r>
    </w:p>
    <w:p>
      <w:pPr>
        <w:pStyle w:val="BodyText"/>
        <w:spacing w:before="2"/>
        <w:rPr>
          <w:rFonts w:ascii="Arial"/>
          <w:b/>
        </w:rPr>
      </w:pPr>
    </w:p>
    <w:p>
      <w:pPr>
        <w:pStyle w:val="BodyText"/>
        <w:ind w:left="118" w:right="119"/>
        <w:jc w:val="both"/>
      </w:pPr>
      <w:r>
        <w:rPr>
          <w:rFonts w:ascii="Arial" w:hAnsi="Arial"/>
          <w:b/>
        </w:rPr>
        <w:t>PRIMERO.- </w:t>
      </w:r>
      <w:r>
        <w:rPr/>
        <w:t>La presente Ley entrará en vigor al</w:t>
      </w:r>
      <w:r>
        <w:rPr>
          <w:spacing w:val="-1"/>
        </w:rPr>
        <w:t> </w:t>
      </w:r>
      <w:r>
        <w:rPr/>
        <w:t>día siguiente de su Publicación en el Periódico Oficial del </w:t>
      </w:r>
      <w:r>
        <w:rPr>
          <w:spacing w:val="-2"/>
        </w:rPr>
        <w:t>Estado.</w:t>
      </w:r>
    </w:p>
    <w:p>
      <w:pPr>
        <w:pStyle w:val="BodyText"/>
        <w:spacing w:before="229"/>
        <w:ind w:left="118" w:right="116"/>
        <w:jc w:val="both"/>
      </w:pPr>
      <w:r>
        <w:rPr>
          <w:rFonts w:ascii="Arial" w:hAnsi="Arial"/>
          <w:b/>
        </w:rPr>
        <w:t>SEGUNDO.- </w:t>
      </w:r>
      <w:r>
        <w:rPr/>
        <w:t>En un término de sesenta días naturales a partir de la entrada en vigor de la presente Ley, se instalará el Consejo Estatal para la Prevención del Delito y se nombrará al Secretario Técnico.</w:t>
      </w:r>
    </w:p>
    <w:p>
      <w:pPr>
        <w:pStyle w:val="BodyText"/>
        <w:spacing w:before="229"/>
        <w:ind w:left="118" w:right="119"/>
        <w:jc w:val="both"/>
      </w:pPr>
      <w:r>
        <w:rPr>
          <w:rFonts w:ascii="Arial" w:hAnsi="Arial"/>
          <w:b/>
        </w:rPr>
        <w:t>TERCERO.- </w:t>
      </w:r>
      <w:r>
        <w:rPr/>
        <w:t>El Consejo Estatal para la Prevención del Delito expedirá su Reglamento en un término de ciento ochenta días naturales a partir de su instalación.</w:t>
      </w:r>
    </w:p>
    <w:p>
      <w:pPr>
        <w:spacing w:after="0"/>
        <w:jc w:val="both"/>
        <w:sectPr>
          <w:pgSz w:w="12250" w:h="15820"/>
          <w:pgMar w:header="0" w:footer="928" w:top="1680" w:bottom="1120" w:left="1300" w:right="1300"/>
        </w:sectPr>
      </w:pPr>
    </w:p>
    <w:p>
      <w:pPr>
        <w:pStyle w:val="BodyText"/>
        <w:spacing w:before="4"/>
      </w:pPr>
    </w:p>
    <w:p>
      <w:pPr>
        <w:spacing w:before="0"/>
        <w:ind w:left="118" w:right="116" w:firstLine="0"/>
        <w:jc w:val="both"/>
        <w:rPr>
          <w:rFonts w:ascii="Arial" w:hAnsi="Arial"/>
          <w:b/>
          <w:sz w:val="20"/>
        </w:rPr>
      </w:pPr>
      <w:r>
        <w:rPr>
          <w:rFonts w:ascii="Arial" w:hAnsi="Arial"/>
          <w:b/>
          <w:sz w:val="20"/>
        </w:rPr>
        <w:t>AL EJECUTIVO DE LA ENTIDAD PARA LOS EFECTOS DEL ARTÍCULO 51 DE LA CONSTITUCION POLÍTICA DEL ESTADO DE HIDALGO.- DADO EN LA SALA DE SESIONES DEL CONGRESO DEL ESTADO, EN LA CIUDAD DE PACHUCA DE SOTO, HGO., A LOS DIECIOCHO DÍAS DEL MES DE NOVIEMBRE DEL AÑO DOS MIL NUEVE.</w:t>
      </w:r>
    </w:p>
    <w:p>
      <w:pPr>
        <w:pStyle w:val="BodyText"/>
        <w:spacing w:before="2"/>
        <w:rPr>
          <w:rFonts w:ascii="Arial"/>
          <w:b/>
        </w:rPr>
      </w:pPr>
    </w:p>
    <w:p>
      <w:pPr>
        <w:spacing w:before="0"/>
        <w:ind w:left="2636" w:right="2636" w:firstLine="0"/>
        <w:jc w:val="center"/>
        <w:rPr>
          <w:rFonts w:ascii="Arial"/>
          <w:b/>
          <w:sz w:val="20"/>
        </w:rPr>
      </w:pPr>
      <w:r>
        <w:rPr>
          <w:rFonts w:ascii="Arial"/>
          <w:b/>
          <w:spacing w:val="-2"/>
          <w:sz w:val="20"/>
        </w:rPr>
        <w:t>PRESIDENTA</w:t>
      </w:r>
    </w:p>
    <w:p>
      <w:pPr>
        <w:spacing w:before="229"/>
        <w:ind w:left="2636" w:right="2636"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FABIOLA</w:t>
      </w:r>
      <w:r>
        <w:rPr>
          <w:rFonts w:ascii="Arial" w:hAnsi="Arial"/>
          <w:b/>
          <w:spacing w:val="-6"/>
          <w:sz w:val="20"/>
        </w:rPr>
        <w:t> </w:t>
      </w:r>
      <w:r>
        <w:rPr>
          <w:rFonts w:ascii="Arial" w:hAnsi="Arial"/>
          <w:b/>
          <w:sz w:val="20"/>
        </w:rPr>
        <w:t>IDALIA</w:t>
      </w:r>
      <w:r>
        <w:rPr>
          <w:rFonts w:ascii="Arial" w:hAnsi="Arial"/>
          <w:b/>
          <w:spacing w:val="-6"/>
          <w:sz w:val="20"/>
        </w:rPr>
        <w:t> </w:t>
      </w:r>
      <w:r>
        <w:rPr>
          <w:rFonts w:ascii="Arial" w:hAnsi="Arial"/>
          <w:b/>
          <w:sz w:val="20"/>
        </w:rPr>
        <w:t>CALVA</w:t>
      </w:r>
      <w:r>
        <w:rPr>
          <w:rFonts w:ascii="Arial" w:hAnsi="Arial"/>
          <w:b/>
          <w:spacing w:val="-7"/>
          <w:sz w:val="20"/>
        </w:rPr>
        <w:t> </w:t>
      </w:r>
      <w:r>
        <w:rPr>
          <w:rFonts w:ascii="Arial" w:hAnsi="Arial"/>
          <w:b/>
          <w:spacing w:val="-2"/>
          <w:sz w:val="20"/>
        </w:rPr>
        <w:t>CHAVARRÍA.</w:t>
      </w:r>
    </w:p>
    <w:p>
      <w:pPr>
        <w:pStyle w:val="BodyText"/>
        <w:rPr>
          <w:rFonts w:ascii="Arial"/>
          <w:b/>
        </w:rPr>
      </w:pPr>
    </w:p>
    <w:p>
      <w:pPr>
        <w:tabs>
          <w:tab w:pos="6155" w:val="left" w:leader="none"/>
        </w:tabs>
        <w:spacing w:before="1"/>
        <w:ind w:left="1530"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tabs>
          <w:tab w:pos="4631" w:val="left" w:leader="none"/>
          <w:tab w:pos="5349" w:val="left" w:leader="none"/>
          <w:tab w:pos="6879" w:val="left" w:leader="none"/>
          <w:tab w:pos="7987" w:val="left" w:leader="none"/>
        </w:tabs>
        <w:spacing w:before="228"/>
        <w:ind w:left="118" w:right="0" w:firstLine="0"/>
        <w:jc w:val="left"/>
        <w:rPr>
          <w:rFonts w:ascii="Arial" w:hAnsi="Arial"/>
          <w:b/>
          <w:sz w:val="20"/>
        </w:rPr>
      </w:pPr>
      <w:r>
        <w:rPr>
          <w:rFonts w:ascii="Arial" w:hAnsi="Arial"/>
          <w:b/>
          <w:sz w:val="20"/>
        </w:rPr>
        <w:t>DIP.</w:t>
      </w:r>
      <w:r>
        <w:rPr>
          <w:rFonts w:ascii="Arial" w:hAnsi="Arial"/>
          <w:b/>
          <w:spacing w:val="-7"/>
          <w:sz w:val="20"/>
        </w:rPr>
        <w:t> </w:t>
      </w:r>
      <w:r>
        <w:rPr>
          <w:rFonts w:ascii="Arial" w:hAnsi="Arial"/>
          <w:b/>
          <w:sz w:val="20"/>
        </w:rPr>
        <w:t>HILDA</w:t>
      </w:r>
      <w:r>
        <w:rPr>
          <w:rFonts w:ascii="Arial" w:hAnsi="Arial"/>
          <w:b/>
          <w:spacing w:val="-6"/>
          <w:sz w:val="20"/>
        </w:rPr>
        <w:t> </w:t>
      </w:r>
      <w:r>
        <w:rPr>
          <w:rFonts w:ascii="Arial" w:hAnsi="Arial"/>
          <w:b/>
          <w:sz w:val="20"/>
        </w:rPr>
        <w:t>ARELI</w:t>
      </w:r>
      <w:r>
        <w:rPr>
          <w:rFonts w:ascii="Arial" w:hAnsi="Arial"/>
          <w:b/>
          <w:spacing w:val="-7"/>
          <w:sz w:val="20"/>
        </w:rPr>
        <w:t> </w:t>
      </w:r>
      <w:r>
        <w:rPr>
          <w:rFonts w:ascii="Arial" w:hAnsi="Arial"/>
          <w:b/>
          <w:sz w:val="20"/>
        </w:rPr>
        <w:t>NARVÁEZ</w:t>
      </w:r>
      <w:r>
        <w:rPr>
          <w:rFonts w:ascii="Arial" w:hAnsi="Arial"/>
          <w:b/>
          <w:spacing w:val="-5"/>
          <w:sz w:val="20"/>
        </w:rPr>
        <w:t> </w:t>
      </w:r>
      <w:r>
        <w:rPr>
          <w:rFonts w:ascii="Arial" w:hAnsi="Arial"/>
          <w:b/>
          <w:spacing w:val="-2"/>
          <w:sz w:val="20"/>
        </w:rPr>
        <w:t>BRAVO.</w:t>
      </w:r>
      <w:r>
        <w:rPr>
          <w:rFonts w:ascii="Arial" w:hAnsi="Arial"/>
          <w:b/>
          <w:sz w:val="20"/>
        </w:rPr>
        <w:tab/>
      </w:r>
      <w:r>
        <w:rPr>
          <w:rFonts w:ascii="Arial" w:hAnsi="Arial"/>
          <w:b/>
          <w:spacing w:val="-4"/>
          <w:sz w:val="20"/>
        </w:rPr>
        <w:t>DIP.</w:t>
      </w:r>
      <w:r>
        <w:rPr>
          <w:rFonts w:ascii="Arial" w:hAnsi="Arial"/>
          <w:b/>
          <w:sz w:val="20"/>
        </w:rPr>
        <w:tab/>
      </w:r>
      <w:r>
        <w:rPr>
          <w:rFonts w:ascii="Arial" w:hAnsi="Arial"/>
          <w:b/>
          <w:spacing w:val="-2"/>
          <w:sz w:val="20"/>
        </w:rPr>
        <w:t>GUILLERMO</w:t>
      </w:r>
      <w:r>
        <w:rPr>
          <w:rFonts w:ascii="Arial" w:hAnsi="Arial"/>
          <w:b/>
          <w:sz w:val="20"/>
        </w:rPr>
        <w:tab/>
      </w:r>
      <w:r>
        <w:rPr>
          <w:rFonts w:ascii="Arial" w:hAnsi="Arial"/>
          <w:b/>
          <w:spacing w:val="-2"/>
          <w:sz w:val="20"/>
        </w:rPr>
        <w:t>MARTÍN</w:t>
      </w:r>
      <w:r>
        <w:rPr>
          <w:rFonts w:ascii="Arial" w:hAnsi="Arial"/>
          <w:b/>
          <w:sz w:val="20"/>
        </w:rPr>
        <w:tab/>
      </w:r>
      <w:r>
        <w:rPr>
          <w:rFonts w:ascii="Arial" w:hAnsi="Arial"/>
          <w:b/>
          <w:spacing w:val="-2"/>
          <w:sz w:val="20"/>
        </w:rPr>
        <w:t>VILLEGAS</w:t>
      </w:r>
    </w:p>
    <w:p>
      <w:pPr>
        <w:spacing w:before="1"/>
        <w:ind w:left="480" w:right="0" w:firstLine="0"/>
        <w:jc w:val="center"/>
        <w:rPr>
          <w:rFonts w:ascii="Arial"/>
          <w:b/>
          <w:sz w:val="20"/>
        </w:rPr>
      </w:pPr>
      <w:r>
        <w:rPr>
          <w:rFonts w:ascii="Arial"/>
          <w:b/>
          <w:spacing w:val="-2"/>
          <w:sz w:val="20"/>
        </w:rPr>
        <w:t>FLORES.</w:t>
      </w:r>
    </w:p>
    <w:p>
      <w:pPr>
        <w:pStyle w:val="BodyText"/>
        <w:rPr>
          <w:rFonts w:ascii="Arial"/>
          <w:b/>
        </w:rPr>
      </w:pPr>
    </w:p>
    <w:p>
      <w:pPr>
        <w:pStyle w:val="BodyText"/>
        <w:spacing w:before="1"/>
        <w:rPr>
          <w:rFonts w:ascii="Arial"/>
          <w:b/>
        </w:rPr>
      </w:pPr>
    </w:p>
    <w:p>
      <w:pPr>
        <w:spacing w:before="0"/>
        <w:ind w:left="118" w:right="116"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w:t>
      </w:r>
      <w:r>
        <w:rPr>
          <w:rFonts w:ascii="Arial" w:hAnsi="Arial"/>
          <w:b/>
          <w:spacing w:val="40"/>
          <w:sz w:val="20"/>
        </w:rPr>
        <w:t> </w:t>
      </w:r>
      <w:r>
        <w:rPr>
          <w:rFonts w:ascii="Arial" w:hAnsi="Arial"/>
          <w:b/>
          <w:sz w:val="20"/>
        </w:rPr>
        <w:t>Y DEBIDO CUMPLIMIENTO.</w:t>
      </w:r>
    </w:p>
    <w:p>
      <w:pPr>
        <w:pStyle w:val="BodyText"/>
        <w:rPr>
          <w:rFonts w:ascii="Arial"/>
          <w:b/>
        </w:rPr>
      </w:pPr>
    </w:p>
    <w:p>
      <w:pPr>
        <w:spacing w:before="0"/>
        <w:ind w:left="118" w:right="149" w:firstLine="0"/>
        <w:jc w:val="left"/>
        <w:rPr>
          <w:rFonts w:ascii="Arial" w:hAnsi="Arial"/>
          <w:b/>
          <w:sz w:val="20"/>
        </w:rPr>
      </w:pPr>
      <w:r>
        <w:rPr>
          <w:rFonts w:ascii="Arial" w:hAnsi="Arial"/>
          <w:b/>
          <w:sz w:val="20"/>
        </w:rPr>
        <w:t>DADO</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RESIDENCIA</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PODER</w:t>
      </w:r>
      <w:r>
        <w:rPr>
          <w:rFonts w:ascii="Arial" w:hAnsi="Arial"/>
          <w:b/>
          <w:spacing w:val="40"/>
          <w:sz w:val="20"/>
        </w:rPr>
        <w:t> </w:t>
      </w:r>
      <w:r>
        <w:rPr>
          <w:rFonts w:ascii="Arial" w:hAnsi="Arial"/>
          <w:b/>
          <w:sz w:val="20"/>
        </w:rPr>
        <w:t>EJECUTIVO</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HIDALGO, A LOS TREINTA DÍAS DEL MES DE NOVIEMBRE DEL AÑO DOS MIL NUEVE.</w:t>
      </w:r>
    </w:p>
    <w:p>
      <w:pPr>
        <w:pStyle w:val="BodyText"/>
        <w:spacing w:before="229"/>
        <w:rPr>
          <w:rFonts w:ascii="Arial"/>
          <w:b/>
        </w:rPr>
      </w:pPr>
    </w:p>
    <w:p>
      <w:pPr>
        <w:spacing w:before="0"/>
        <w:ind w:left="2845" w:right="2849"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HIALGO</w:t>
      </w:r>
    </w:p>
    <w:p>
      <w:pPr>
        <w:pStyle w:val="BodyText"/>
        <w:spacing w:before="1"/>
        <w:rPr>
          <w:rFonts w:ascii="Arial"/>
          <w:b/>
        </w:rPr>
      </w:pPr>
    </w:p>
    <w:p>
      <w:pPr>
        <w:spacing w:before="1"/>
        <w:ind w:left="2636" w:right="2636"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6"/>
          <w:sz w:val="20"/>
        </w:rPr>
        <w:t> </w:t>
      </w:r>
      <w:r>
        <w:rPr>
          <w:rFonts w:ascii="Arial" w:hAnsi="Arial"/>
          <w:b/>
          <w:sz w:val="20"/>
        </w:rPr>
        <w:t>OSORIO</w:t>
      </w:r>
      <w:r>
        <w:rPr>
          <w:rFonts w:ascii="Arial" w:hAnsi="Arial"/>
          <w:b/>
          <w:spacing w:val="-6"/>
          <w:sz w:val="20"/>
        </w:rPr>
        <w:t> </w:t>
      </w:r>
      <w:r>
        <w:rPr>
          <w:rFonts w:ascii="Arial" w:hAnsi="Arial"/>
          <w:b/>
          <w:spacing w:val="-2"/>
          <w:sz w:val="20"/>
        </w:rPr>
        <w:t>CHONG.</w:t>
      </w:r>
    </w:p>
    <w:p>
      <w:pPr>
        <w:pStyle w:val="BodyText"/>
        <w:spacing w:before="229"/>
        <w:rPr>
          <w:rFonts w:ascii="Arial"/>
          <w:b/>
        </w:rPr>
      </w:pPr>
    </w:p>
    <w:p>
      <w:pPr>
        <w:spacing w:before="0"/>
        <w:ind w:left="4473" w:right="0" w:firstLine="0"/>
        <w:jc w:val="left"/>
        <w:rPr>
          <w:rFonts w:ascii="Arial"/>
          <w:i/>
          <w:sz w:val="20"/>
        </w:rPr>
      </w:pPr>
      <w:r>
        <w:rPr>
          <w:rFonts w:ascii="Arial"/>
          <w:i/>
          <w:sz w:val="20"/>
        </w:rPr>
        <w:t>F.</w:t>
      </w:r>
      <w:r>
        <w:rPr>
          <w:rFonts w:ascii="Arial"/>
          <w:i/>
          <w:spacing w:val="-6"/>
          <w:sz w:val="20"/>
        </w:rPr>
        <w:t> </w:t>
      </w:r>
      <w:r>
        <w:rPr>
          <w:rFonts w:ascii="Arial"/>
          <w:i/>
          <w:sz w:val="20"/>
        </w:rPr>
        <w:t>de</w:t>
      </w:r>
      <w:r>
        <w:rPr>
          <w:rFonts w:ascii="Arial"/>
          <w:i/>
          <w:spacing w:val="-1"/>
          <w:sz w:val="20"/>
        </w:rPr>
        <w:t> </w:t>
      </w:r>
      <w:r>
        <w:rPr>
          <w:rFonts w:ascii="Arial"/>
          <w:i/>
          <w:spacing w:val="-5"/>
          <w:sz w:val="20"/>
        </w:rPr>
        <w:t>E.</w:t>
      </w:r>
    </w:p>
    <w:p>
      <w:pPr>
        <w:spacing w:before="0"/>
        <w:ind w:left="3561" w:right="0" w:firstLine="0"/>
        <w:jc w:val="left"/>
        <w:rPr>
          <w:rFonts w:ascii="Arial"/>
          <w:i/>
          <w:sz w:val="20"/>
        </w:rPr>
      </w:pPr>
      <w:r>
        <w:rPr>
          <w:rFonts w:ascii="Arial"/>
          <w:i/>
          <w:sz w:val="20"/>
        </w:rPr>
        <w:t>14</w:t>
      </w:r>
      <w:r>
        <w:rPr>
          <w:rFonts w:ascii="Arial"/>
          <w:i/>
          <w:spacing w:val="-4"/>
          <w:sz w:val="20"/>
        </w:rPr>
        <w:t> </w:t>
      </w:r>
      <w:r>
        <w:rPr>
          <w:rFonts w:ascii="Arial"/>
          <w:i/>
          <w:sz w:val="20"/>
        </w:rPr>
        <w:t>DE</w:t>
      </w:r>
      <w:r>
        <w:rPr>
          <w:rFonts w:ascii="Arial"/>
          <w:i/>
          <w:spacing w:val="-4"/>
          <w:sz w:val="20"/>
        </w:rPr>
        <w:t> </w:t>
      </w:r>
      <w:r>
        <w:rPr>
          <w:rFonts w:ascii="Arial"/>
          <w:i/>
          <w:sz w:val="20"/>
        </w:rPr>
        <w:t>FEBRERO</w:t>
      </w:r>
      <w:r>
        <w:rPr>
          <w:rFonts w:ascii="Arial"/>
          <w:i/>
          <w:spacing w:val="50"/>
          <w:sz w:val="20"/>
        </w:rPr>
        <w:t> </w:t>
      </w:r>
      <w:r>
        <w:rPr>
          <w:rFonts w:ascii="Arial"/>
          <w:i/>
          <w:sz w:val="20"/>
        </w:rPr>
        <w:t>DE</w:t>
      </w:r>
      <w:r>
        <w:rPr>
          <w:rFonts w:ascii="Arial"/>
          <w:i/>
          <w:spacing w:val="-3"/>
          <w:sz w:val="20"/>
        </w:rPr>
        <w:t> </w:t>
      </w:r>
      <w:r>
        <w:rPr>
          <w:rFonts w:ascii="Arial"/>
          <w:i/>
          <w:spacing w:val="-4"/>
          <w:sz w:val="20"/>
        </w:rPr>
        <w:t>2011.</w:t>
      </w:r>
    </w:p>
    <w:p>
      <w:pPr>
        <w:pStyle w:val="BodyText"/>
        <w:spacing w:before="229"/>
        <w:rPr>
          <w:rFonts w:ascii="Arial"/>
          <w:i/>
        </w:rPr>
      </w:pPr>
    </w:p>
    <w:p>
      <w:pPr>
        <w:spacing w:before="0"/>
        <w:ind w:left="118" w:right="149"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rPr>
          <w:rFonts w:ascii="Arial"/>
          <w:i/>
        </w:rPr>
      </w:pPr>
    </w:p>
    <w:p>
      <w:pPr>
        <w:pStyle w:val="BodyText"/>
        <w:spacing w:before="2"/>
        <w:rPr>
          <w:rFonts w:ascii="Arial"/>
          <w:i/>
        </w:rPr>
      </w:pPr>
    </w:p>
    <w:p>
      <w:pPr>
        <w:spacing w:before="0"/>
        <w:ind w:left="3484" w:right="0" w:firstLine="0"/>
        <w:jc w:val="left"/>
        <w:rPr>
          <w:rFonts w:ascii="Arial"/>
          <w:i/>
          <w:sz w:val="20"/>
        </w:rPr>
      </w:pPr>
      <w:r>
        <w:rPr>
          <w:rFonts w:ascii="Arial"/>
          <w:i/>
          <w:sz w:val="20"/>
        </w:rPr>
        <w:t>P.O.</w:t>
      </w:r>
      <w:r>
        <w:rPr>
          <w:rFonts w:ascii="Arial"/>
          <w:i/>
          <w:spacing w:val="-6"/>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4"/>
          <w:sz w:val="20"/>
        </w:rPr>
        <w:t> </w:t>
      </w:r>
      <w:r>
        <w:rPr>
          <w:rFonts w:ascii="Arial"/>
          <w:i/>
          <w:sz w:val="20"/>
        </w:rPr>
        <w:t>DE</w:t>
      </w:r>
      <w:r>
        <w:rPr>
          <w:rFonts w:ascii="Arial"/>
          <w:i/>
          <w:spacing w:val="-3"/>
          <w:sz w:val="20"/>
        </w:rPr>
        <w:t> </w:t>
      </w:r>
      <w:r>
        <w:rPr>
          <w:rFonts w:ascii="Arial"/>
          <w:i/>
          <w:spacing w:val="-2"/>
          <w:sz w:val="20"/>
        </w:rPr>
        <w:t>2013.</w:t>
      </w:r>
    </w:p>
    <w:p>
      <w:pPr>
        <w:pStyle w:val="BodyText"/>
        <w:spacing w:before="228"/>
        <w:ind w:left="118" w:right="149"/>
      </w:pPr>
      <w:r>
        <w:rPr/>
        <w:t>ÚNICO.- El presente Decreto entrará en vigor, al día siguiente de su Publicación en el Periódico Oficial</w:t>
      </w:r>
      <w:r>
        <w:rPr>
          <w:spacing w:val="40"/>
        </w:rPr>
        <w:t> </w:t>
      </w:r>
      <w:r>
        <w:rPr/>
        <w:t>del Estado de Hidalgo.</w:t>
      </w:r>
    </w:p>
    <w:p>
      <w:pPr>
        <w:pStyle w:val="BodyText"/>
      </w:pPr>
    </w:p>
    <w:p>
      <w:pPr>
        <w:pStyle w:val="BodyText"/>
        <w:spacing w:before="2"/>
      </w:pPr>
    </w:p>
    <w:p>
      <w:pPr>
        <w:spacing w:before="0"/>
        <w:ind w:left="3561" w:right="0" w:firstLine="0"/>
        <w:jc w:val="left"/>
        <w:rPr>
          <w:rFonts w:ascii="Arial"/>
          <w:i/>
          <w:sz w:val="20"/>
        </w:rPr>
      </w:pPr>
      <w:r>
        <w:rPr>
          <w:rFonts w:ascii="Arial"/>
          <w:i/>
          <w:sz w:val="20"/>
        </w:rPr>
        <w:t>P.O.</w:t>
      </w:r>
      <w:r>
        <w:rPr>
          <w:rFonts w:ascii="Arial"/>
          <w:i/>
          <w:spacing w:val="-4"/>
          <w:sz w:val="20"/>
        </w:rPr>
        <w:t> </w:t>
      </w:r>
      <w:r>
        <w:rPr>
          <w:rFonts w:ascii="Arial"/>
          <w:i/>
          <w:sz w:val="20"/>
        </w:rPr>
        <w:t>20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2020.</w:t>
      </w:r>
    </w:p>
    <w:p>
      <w:pPr>
        <w:pStyle w:val="BodyText"/>
        <w:spacing w:before="229"/>
        <w:ind w:left="118" w:right="149"/>
      </w:pPr>
      <w:r>
        <w:rPr/>
        <w:t>ÚNICO.- El presente Decreto entrará en vigor, al día</w:t>
      </w:r>
      <w:r>
        <w:rPr>
          <w:spacing w:val="22"/>
        </w:rPr>
        <w:t> </w:t>
      </w:r>
      <w:r>
        <w:rPr/>
        <w:t>siguiente de su publicación en el Periódico Oficial</w:t>
      </w:r>
      <w:r>
        <w:rPr>
          <w:spacing w:val="40"/>
        </w:rPr>
        <w:t> </w:t>
      </w:r>
      <w:r>
        <w:rPr/>
        <w:t>del Estado de Hidalgo.</w:t>
      </w:r>
    </w:p>
    <w:p>
      <w:pPr>
        <w:pStyle w:val="BodyText"/>
      </w:pPr>
    </w:p>
    <w:p>
      <w:pPr>
        <w:pStyle w:val="BodyText"/>
        <w:spacing w:before="3"/>
      </w:pPr>
    </w:p>
    <w:p>
      <w:pPr>
        <w:spacing w:line="237" w:lineRule="auto" w:before="0"/>
        <w:ind w:left="4062" w:right="2281" w:hanging="867"/>
        <w:jc w:val="left"/>
        <w:rPr>
          <w:rFonts w:ascii="Arial"/>
          <w:b/>
          <w:i/>
          <w:sz w:val="20"/>
        </w:rPr>
      </w:pPr>
      <w:r>
        <w:rPr>
          <w:rFonts w:ascii="Arial"/>
          <w:b/>
          <w:i/>
          <w:sz w:val="20"/>
        </w:rPr>
        <w:t>P.O.</w:t>
      </w:r>
      <w:r>
        <w:rPr>
          <w:rFonts w:ascii="Arial"/>
          <w:b/>
          <w:i/>
          <w:spacing w:val="-9"/>
          <w:sz w:val="20"/>
        </w:rPr>
        <w:t> </w:t>
      </w:r>
      <w:r>
        <w:rPr>
          <w:rFonts w:ascii="Arial"/>
          <w:b/>
          <w:i/>
          <w:sz w:val="20"/>
        </w:rPr>
        <w:t>13</w:t>
      </w:r>
      <w:r>
        <w:rPr>
          <w:rFonts w:ascii="Arial"/>
          <w:b/>
          <w:i/>
          <w:spacing w:val="-9"/>
          <w:sz w:val="20"/>
        </w:rPr>
        <w:t> </w:t>
      </w:r>
      <w:r>
        <w:rPr>
          <w:rFonts w:ascii="Arial"/>
          <w:b/>
          <w:i/>
          <w:sz w:val="20"/>
        </w:rPr>
        <w:t>DE</w:t>
      </w:r>
      <w:r>
        <w:rPr>
          <w:rFonts w:ascii="Arial"/>
          <w:b/>
          <w:i/>
          <w:spacing w:val="-9"/>
          <w:sz w:val="20"/>
        </w:rPr>
        <w:t> </w:t>
      </w:r>
      <w:r>
        <w:rPr>
          <w:rFonts w:ascii="Arial"/>
          <w:b/>
          <w:i/>
          <w:sz w:val="20"/>
        </w:rPr>
        <w:t>SEPTIEMBRE</w:t>
      </w:r>
      <w:r>
        <w:rPr>
          <w:rFonts w:ascii="Arial"/>
          <w:b/>
          <w:i/>
          <w:spacing w:val="-5"/>
          <w:sz w:val="20"/>
        </w:rPr>
        <w:t> </w:t>
      </w:r>
      <w:r>
        <w:rPr>
          <w:rFonts w:ascii="Arial"/>
          <w:b/>
          <w:i/>
          <w:sz w:val="20"/>
        </w:rPr>
        <w:t>DE</w:t>
      </w:r>
      <w:r>
        <w:rPr>
          <w:rFonts w:ascii="Arial"/>
          <w:b/>
          <w:i/>
          <w:spacing w:val="-9"/>
          <w:sz w:val="20"/>
        </w:rPr>
        <w:t> </w:t>
      </w:r>
      <w:r>
        <w:rPr>
          <w:rFonts w:ascii="Arial"/>
          <w:b/>
          <w:i/>
          <w:sz w:val="20"/>
        </w:rPr>
        <w:t>2021. ALCANCE DOS.</w:t>
      </w:r>
    </w:p>
    <w:p>
      <w:pPr>
        <w:spacing w:after="0" w:line="237" w:lineRule="auto"/>
        <w:jc w:val="left"/>
        <w:rPr>
          <w:rFonts w:ascii="Arial"/>
          <w:sz w:val="20"/>
        </w:rPr>
        <w:sectPr>
          <w:pgSz w:w="12250" w:h="15820"/>
          <w:pgMar w:header="0" w:footer="928" w:top="1680" w:bottom="1120" w:left="1300" w:right="1300"/>
        </w:sectPr>
      </w:pPr>
    </w:p>
    <w:p>
      <w:pPr>
        <w:spacing w:before="6"/>
        <w:ind w:left="118" w:right="0" w:firstLine="0"/>
        <w:jc w:val="left"/>
        <w:rPr>
          <w:rFonts w:ascii="Arial" w:hAnsi="Arial"/>
          <w:b/>
          <w:sz w:val="20"/>
        </w:rPr>
      </w:pPr>
      <w:r>
        <w:rPr>
          <w:rFonts w:ascii="Arial" w:hAnsi="Arial"/>
          <w:b/>
          <w:sz w:val="20"/>
        </w:rPr>
        <w:t>ÚNICO.</w:t>
      </w:r>
      <w:r>
        <w:rPr>
          <w:rFonts w:ascii="Arial" w:hAnsi="Arial"/>
          <w:b/>
          <w:spacing w:val="35"/>
          <w:sz w:val="20"/>
        </w:rPr>
        <w:t> </w:t>
      </w:r>
      <w:r>
        <w:rPr>
          <w:rFonts w:ascii="Arial" w:hAnsi="Arial"/>
          <w:b/>
          <w:sz w:val="20"/>
        </w:rPr>
        <w:t>-</w:t>
      </w:r>
      <w:r>
        <w:rPr>
          <w:rFonts w:ascii="Arial" w:hAnsi="Arial"/>
          <w:b/>
          <w:spacing w:val="38"/>
          <w:sz w:val="20"/>
        </w:rPr>
        <w:t> </w:t>
      </w:r>
      <w:r>
        <w:rPr>
          <w:rFonts w:ascii="Arial" w:hAnsi="Arial"/>
          <w:b/>
          <w:sz w:val="20"/>
        </w:rPr>
        <w:t>El</w:t>
      </w:r>
      <w:r>
        <w:rPr>
          <w:rFonts w:ascii="Arial" w:hAnsi="Arial"/>
          <w:b/>
          <w:spacing w:val="37"/>
          <w:sz w:val="20"/>
        </w:rPr>
        <w:t> </w:t>
      </w:r>
      <w:r>
        <w:rPr>
          <w:rFonts w:ascii="Arial" w:hAnsi="Arial"/>
          <w:b/>
          <w:sz w:val="20"/>
        </w:rPr>
        <w:t>presente</w:t>
      </w:r>
      <w:r>
        <w:rPr>
          <w:rFonts w:ascii="Arial" w:hAnsi="Arial"/>
          <w:b/>
          <w:spacing w:val="34"/>
          <w:sz w:val="20"/>
        </w:rPr>
        <w:t> </w:t>
      </w:r>
      <w:r>
        <w:rPr>
          <w:rFonts w:ascii="Arial" w:hAnsi="Arial"/>
          <w:b/>
          <w:sz w:val="20"/>
        </w:rPr>
        <w:t>Decreto</w:t>
      </w:r>
      <w:r>
        <w:rPr>
          <w:rFonts w:ascii="Arial" w:hAnsi="Arial"/>
          <w:b/>
          <w:spacing w:val="38"/>
          <w:sz w:val="20"/>
        </w:rPr>
        <w:t> </w:t>
      </w:r>
      <w:r>
        <w:rPr>
          <w:rFonts w:ascii="Arial" w:hAnsi="Arial"/>
          <w:b/>
          <w:sz w:val="20"/>
        </w:rPr>
        <w:t>entra</w:t>
      </w:r>
      <w:r>
        <w:rPr>
          <w:rFonts w:ascii="Arial" w:hAnsi="Arial"/>
          <w:b/>
          <w:spacing w:val="37"/>
          <w:sz w:val="20"/>
        </w:rPr>
        <w:t> </w:t>
      </w:r>
      <w:r>
        <w:rPr>
          <w:rFonts w:ascii="Arial" w:hAnsi="Arial"/>
          <w:b/>
          <w:sz w:val="20"/>
        </w:rPr>
        <w:t>en</w:t>
      </w:r>
      <w:r>
        <w:rPr>
          <w:rFonts w:ascii="Arial" w:hAnsi="Arial"/>
          <w:b/>
          <w:spacing w:val="35"/>
          <w:sz w:val="20"/>
        </w:rPr>
        <w:t> </w:t>
      </w:r>
      <w:r>
        <w:rPr>
          <w:rFonts w:ascii="Arial" w:hAnsi="Arial"/>
          <w:b/>
          <w:sz w:val="20"/>
        </w:rPr>
        <w:t>vigor</w:t>
      </w:r>
      <w:r>
        <w:rPr>
          <w:rFonts w:ascii="Arial" w:hAnsi="Arial"/>
          <w:b/>
          <w:spacing w:val="37"/>
          <w:sz w:val="20"/>
        </w:rPr>
        <w:t> </w:t>
      </w:r>
      <w:r>
        <w:rPr>
          <w:rFonts w:ascii="Arial" w:hAnsi="Arial"/>
          <w:b/>
          <w:sz w:val="20"/>
        </w:rPr>
        <w:t>a</w:t>
      </w:r>
      <w:r>
        <w:rPr>
          <w:rFonts w:ascii="Arial" w:hAnsi="Arial"/>
          <w:b/>
          <w:spacing w:val="34"/>
          <w:sz w:val="20"/>
        </w:rPr>
        <w:t> </w:t>
      </w:r>
      <w:r>
        <w:rPr>
          <w:rFonts w:ascii="Arial" w:hAnsi="Arial"/>
          <w:b/>
          <w:sz w:val="20"/>
        </w:rPr>
        <w:t>partir</w:t>
      </w:r>
      <w:r>
        <w:rPr>
          <w:rFonts w:ascii="Arial" w:hAnsi="Arial"/>
          <w:b/>
          <w:spacing w:val="36"/>
          <w:sz w:val="20"/>
        </w:rPr>
        <w:t> </w:t>
      </w:r>
      <w:r>
        <w:rPr>
          <w:rFonts w:ascii="Arial" w:hAnsi="Arial"/>
          <w:b/>
          <w:sz w:val="20"/>
        </w:rPr>
        <w:t>del</w:t>
      </w:r>
      <w:r>
        <w:rPr>
          <w:rFonts w:ascii="Arial" w:hAnsi="Arial"/>
          <w:b/>
          <w:spacing w:val="34"/>
          <w:sz w:val="20"/>
        </w:rPr>
        <w:t> </w:t>
      </w:r>
      <w:r>
        <w:rPr>
          <w:rFonts w:ascii="Arial" w:hAnsi="Arial"/>
          <w:b/>
          <w:sz w:val="20"/>
        </w:rPr>
        <w:t>día</w:t>
      </w:r>
      <w:r>
        <w:rPr>
          <w:rFonts w:ascii="Arial" w:hAnsi="Arial"/>
          <w:b/>
          <w:spacing w:val="37"/>
          <w:sz w:val="20"/>
        </w:rPr>
        <w:t> </w:t>
      </w:r>
      <w:r>
        <w:rPr>
          <w:rFonts w:ascii="Arial" w:hAnsi="Arial"/>
          <w:b/>
          <w:sz w:val="20"/>
        </w:rPr>
        <w:t>siguiente</w:t>
      </w:r>
      <w:r>
        <w:rPr>
          <w:rFonts w:ascii="Arial" w:hAnsi="Arial"/>
          <w:b/>
          <w:spacing w:val="37"/>
          <w:sz w:val="20"/>
        </w:rPr>
        <w:t> </w:t>
      </w:r>
      <w:r>
        <w:rPr>
          <w:rFonts w:ascii="Arial" w:hAnsi="Arial"/>
          <w:b/>
          <w:sz w:val="20"/>
        </w:rPr>
        <w:t>de</w:t>
      </w:r>
      <w:r>
        <w:rPr>
          <w:rFonts w:ascii="Arial" w:hAnsi="Arial"/>
          <w:b/>
          <w:spacing w:val="34"/>
          <w:sz w:val="20"/>
        </w:rPr>
        <w:t> </w:t>
      </w:r>
      <w:r>
        <w:rPr>
          <w:rFonts w:ascii="Arial" w:hAnsi="Arial"/>
          <w:b/>
          <w:sz w:val="20"/>
        </w:rPr>
        <w:t>su</w:t>
      </w:r>
      <w:r>
        <w:rPr>
          <w:rFonts w:ascii="Arial" w:hAnsi="Arial"/>
          <w:b/>
          <w:spacing w:val="35"/>
          <w:sz w:val="20"/>
        </w:rPr>
        <w:t> </w:t>
      </w:r>
      <w:r>
        <w:rPr>
          <w:rFonts w:ascii="Arial" w:hAnsi="Arial"/>
          <w:b/>
          <w:sz w:val="20"/>
        </w:rPr>
        <w:t>publicación</w:t>
      </w:r>
      <w:r>
        <w:rPr>
          <w:rFonts w:ascii="Arial" w:hAnsi="Arial"/>
          <w:b/>
          <w:spacing w:val="35"/>
          <w:sz w:val="20"/>
        </w:rPr>
        <w:t> </w:t>
      </w:r>
      <w:r>
        <w:rPr>
          <w:rFonts w:ascii="Arial" w:hAnsi="Arial"/>
          <w:b/>
          <w:sz w:val="20"/>
        </w:rPr>
        <w:t>en</w:t>
      </w:r>
      <w:r>
        <w:rPr>
          <w:rFonts w:ascii="Arial" w:hAnsi="Arial"/>
          <w:b/>
          <w:spacing w:val="37"/>
          <w:sz w:val="20"/>
        </w:rPr>
        <w:t> </w:t>
      </w:r>
      <w:r>
        <w:rPr>
          <w:rFonts w:ascii="Arial" w:hAnsi="Arial"/>
          <w:b/>
          <w:sz w:val="20"/>
        </w:rPr>
        <w:t>el Periódico Oficial del Estado de Hidalgo.</w:t>
      </w:r>
    </w:p>
    <w:sectPr>
      <w:pgSz w:w="12250" w:h="15820"/>
      <w:pgMar w:header="0" w:footer="928" w:top="168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21440">
              <wp:simplePos x="0" y="0"/>
              <wp:positionH relativeFrom="page">
                <wp:posOffset>6726935</wp:posOffset>
              </wp:positionH>
              <wp:positionV relativeFrom="page">
                <wp:posOffset>9315927</wp:posOffset>
              </wp:positionV>
              <wp:extent cx="201930"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9.679993pt;margin-top:733.537598pt;width:15.9pt;height:11pt;mso-position-horizontal-relative:page;mso-position-vertical-relative:page;z-index:-15895040" type="#_x0000_t202" id="docshape3"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19392">
          <wp:simplePos x="0" y="0"/>
          <wp:positionH relativeFrom="page">
            <wp:posOffset>0</wp:posOffset>
          </wp:positionH>
          <wp:positionV relativeFrom="page">
            <wp:posOffset>9524</wp:posOffset>
          </wp:positionV>
          <wp:extent cx="7776844"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844"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419904">
              <wp:simplePos x="0" y="0"/>
              <wp:positionH relativeFrom="page">
                <wp:posOffset>4258436</wp:posOffset>
              </wp:positionH>
              <wp:positionV relativeFrom="page">
                <wp:posOffset>449325</wp:posOffset>
              </wp:positionV>
              <wp:extent cx="263207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2075" cy="283210"/>
                      </a:xfrm>
                      <a:prstGeom prst="rect">
                        <a:avLst/>
                      </a:prstGeom>
                    </wps:spPr>
                    <wps:txbx>
                      <w:txbxContent>
                        <w:p>
                          <w:pPr>
                            <w:spacing w:line="207" w:lineRule="exact" w:before="12"/>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Prevención</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Delito para</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b/>
                              <w:color w:val="808080"/>
                              <w:spacing w:val="-2"/>
                              <w:sz w:val="1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5.309998pt;margin-top:35.379963pt;width:207.25pt;height:22.3pt;mso-position-horizontal-relative:page;mso-position-vertical-relative:page;z-index:-15896576" type="#_x0000_t202" id="docshape1" filled="false" stroked="false">
              <v:textbox inset="0,0,0,0">
                <w:txbxContent>
                  <w:p>
                    <w:pPr>
                      <w:spacing w:line="207" w:lineRule="exact" w:before="12"/>
                      <w:ind w:left="0" w:right="19"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Prevención</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Delito para</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b/>
                        <w:color w:val="808080"/>
                        <w:spacing w:val="-2"/>
                        <w:sz w:val="18"/>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20416">
          <wp:simplePos x="0" y="0"/>
          <wp:positionH relativeFrom="page">
            <wp:posOffset>0</wp:posOffset>
          </wp:positionH>
          <wp:positionV relativeFrom="page">
            <wp:posOffset>0</wp:posOffset>
          </wp:positionV>
          <wp:extent cx="7776844" cy="107632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844" cy="1076324"/>
                  </a:xfrm>
                  <a:prstGeom prst="rect">
                    <a:avLst/>
                  </a:prstGeom>
                </pic:spPr>
              </pic:pic>
            </a:graphicData>
          </a:graphic>
        </wp:anchor>
      </w:drawing>
    </w:r>
    <w:r>
      <w:rPr/>
      <mc:AlternateContent>
        <mc:Choice Requires="wps">
          <w:drawing>
            <wp:anchor distT="0" distB="0" distL="0" distR="0" allowOverlap="1" layoutInCell="1" locked="0" behindDoc="1" simplePos="0" relativeHeight="487420928">
              <wp:simplePos x="0" y="0"/>
              <wp:positionH relativeFrom="page">
                <wp:posOffset>4229480</wp:posOffset>
              </wp:positionH>
              <wp:positionV relativeFrom="page">
                <wp:posOffset>449325</wp:posOffset>
              </wp:positionV>
              <wp:extent cx="2662555"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62555"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Prevención</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Delito 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33.029999pt;margin-top:35.379963pt;width:209.65pt;height:22.3pt;mso-position-horizontal-relative:page;mso-position-vertical-relative:page;z-index:-15895552" type="#_x0000_t202" id="docshape2"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Prevención</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Delito para 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118" w:hanging="176"/>
        <w:jc w:val="left"/>
      </w:pPr>
      <w:rPr>
        <w:rFonts w:hint="default" w:ascii="Arial MT" w:hAnsi="Arial MT" w:eastAsia="Arial MT" w:cs="Arial MT"/>
        <w:b w:val="0"/>
        <w:bCs w:val="0"/>
        <w:i w:val="0"/>
        <w:iCs w:val="0"/>
        <w:spacing w:val="0"/>
        <w:w w:val="87"/>
        <w:sz w:val="20"/>
        <w:szCs w:val="20"/>
        <w:lang w:val="es-ES" w:eastAsia="en-US" w:bidi="ar-SA"/>
      </w:rPr>
    </w:lvl>
    <w:lvl w:ilvl="1">
      <w:start w:val="1"/>
      <w:numFmt w:val="lowerLetter"/>
      <w:lvlText w:val="%2)"/>
      <w:lvlJc w:val="left"/>
      <w:pPr>
        <w:ind w:left="351" w:hanging="233"/>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1391" w:hanging="233"/>
      </w:pPr>
      <w:rPr>
        <w:rFonts w:hint="default"/>
        <w:lang w:val="es-ES" w:eastAsia="en-US" w:bidi="ar-SA"/>
      </w:rPr>
    </w:lvl>
    <w:lvl w:ilvl="3">
      <w:start w:val="0"/>
      <w:numFmt w:val="bullet"/>
      <w:lvlText w:val="•"/>
      <w:lvlJc w:val="left"/>
      <w:pPr>
        <w:ind w:left="2423" w:hanging="233"/>
      </w:pPr>
      <w:rPr>
        <w:rFonts w:hint="default"/>
        <w:lang w:val="es-ES" w:eastAsia="en-US" w:bidi="ar-SA"/>
      </w:rPr>
    </w:lvl>
    <w:lvl w:ilvl="4">
      <w:start w:val="0"/>
      <w:numFmt w:val="bullet"/>
      <w:lvlText w:val="•"/>
      <w:lvlJc w:val="left"/>
      <w:pPr>
        <w:ind w:left="3455" w:hanging="233"/>
      </w:pPr>
      <w:rPr>
        <w:rFonts w:hint="default"/>
        <w:lang w:val="es-ES" w:eastAsia="en-US" w:bidi="ar-SA"/>
      </w:rPr>
    </w:lvl>
    <w:lvl w:ilvl="5">
      <w:start w:val="0"/>
      <w:numFmt w:val="bullet"/>
      <w:lvlText w:val="•"/>
      <w:lvlJc w:val="left"/>
      <w:pPr>
        <w:ind w:left="4487" w:hanging="233"/>
      </w:pPr>
      <w:rPr>
        <w:rFonts w:hint="default"/>
        <w:lang w:val="es-ES" w:eastAsia="en-US" w:bidi="ar-SA"/>
      </w:rPr>
    </w:lvl>
    <w:lvl w:ilvl="6">
      <w:start w:val="0"/>
      <w:numFmt w:val="bullet"/>
      <w:lvlText w:val="•"/>
      <w:lvlJc w:val="left"/>
      <w:pPr>
        <w:ind w:left="5519" w:hanging="233"/>
      </w:pPr>
      <w:rPr>
        <w:rFonts w:hint="default"/>
        <w:lang w:val="es-ES" w:eastAsia="en-US" w:bidi="ar-SA"/>
      </w:rPr>
    </w:lvl>
    <w:lvl w:ilvl="7">
      <w:start w:val="0"/>
      <w:numFmt w:val="bullet"/>
      <w:lvlText w:val="•"/>
      <w:lvlJc w:val="left"/>
      <w:pPr>
        <w:ind w:left="6551" w:hanging="233"/>
      </w:pPr>
      <w:rPr>
        <w:rFonts w:hint="default"/>
        <w:lang w:val="es-ES" w:eastAsia="en-US" w:bidi="ar-SA"/>
      </w:rPr>
    </w:lvl>
    <w:lvl w:ilvl="8">
      <w:start w:val="0"/>
      <w:numFmt w:val="bullet"/>
      <w:lvlText w:val="•"/>
      <w:lvlJc w:val="left"/>
      <w:pPr>
        <w:ind w:left="7583" w:hanging="233"/>
      </w:pPr>
      <w:rPr>
        <w:rFonts w:hint="default"/>
        <w:lang w:val="es-ES" w:eastAsia="en-US" w:bidi="ar-SA"/>
      </w:rPr>
    </w:lvl>
  </w:abstractNum>
  <w:abstractNum w:abstractNumId="2">
    <w:multiLevelType w:val="hybridMultilevel"/>
    <w:lvl w:ilvl="0">
      <w:start w:val="1"/>
      <w:numFmt w:val="upperRoman"/>
      <w:lvlText w:val="%1."/>
      <w:lvlJc w:val="left"/>
      <w:pPr>
        <w:ind w:left="339" w:hanging="221"/>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270" w:hanging="221"/>
      </w:pPr>
      <w:rPr>
        <w:rFonts w:hint="default"/>
        <w:lang w:val="es-ES" w:eastAsia="en-US" w:bidi="ar-SA"/>
      </w:rPr>
    </w:lvl>
    <w:lvl w:ilvl="2">
      <w:start w:val="0"/>
      <w:numFmt w:val="bullet"/>
      <w:lvlText w:val="•"/>
      <w:lvlJc w:val="left"/>
      <w:pPr>
        <w:ind w:left="2201" w:hanging="221"/>
      </w:pPr>
      <w:rPr>
        <w:rFonts w:hint="default"/>
        <w:lang w:val="es-ES" w:eastAsia="en-US" w:bidi="ar-SA"/>
      </w:rPr>
    </w:lvl>
    <w:lvl w:ilvl="3">
      <w:start w:val="0"/>
      <w:numFmt w:val="bullet"/>
      <w:lvlText w:val="•"/>
      <w:lvlJc w:val="left"/>
      <w:pPr>
        <w:ind w:left="3132" w:hanging="221"/>
      </w:pPr>
      <w:rPr>
        <w:rFonts w:hint="default"/>
        <w:lang w:val="es-ES" w:eastAsia="en-US" w:bidi="ar-SA"/>
      </w:rPr>
    </w:lvl>
    <w:lvl w:ilvl="4">
      <w:start w:val="0"/>
      <w:numFmt w:val="bullet"/>
      <w:lvlText w:val="•"/>
      <w:lvlJc w:val="left"/>
      <w:pPr>
        <w:ind w:left="4062" w:hanging="221"/>
      </w:pPr>
      <w:rPr>
        <w:rFonts w:hint="default"/>
        <w:lang w:val="es-ES" w:eastAsia="en-US" w:bidi="ar-SA"/>
      </w:rPr>
    </w:lvl>
    <w:lvl w:ilvl="5">
      <w:start w:val="0"/>
      <w:numFmt w:val="bullet"/>
      <w:lvlText w:val="•"/>
      <w:lvlJc w:val="left"/>
      <w:pPr>
        <w:ind w:left="4993" w:hanging="221"/>
      </w:pPr>
      <w:rPr>
        <w:rFonts w:hint="default"/>
        <w:lang w:val="es-ES" w:eastAsia="en-US" w:bidi="ar-SA"/>
      </w:rPr>
    </w:lvl>
    <w:lvl w:ilvl="6">
      <w:start w:val="0"/>
      <w:numFmt w:val="bullet"/>
      <w:lvlText w:val="•"/>
      <w:lvlJc w:val="left"/>
      <w:pPr>
        <w:ind w:left="5924" w:hanging="221"/>
      </w:pPr>
      <w:rPr>
        <w:rFonts w:hint="default"/>
        <w:lang w:val="es-ES" w:eastAsia="en-US" w:bidi="ar-SA"/>
      </w:rPr>
    </w:lvl>
    <w:lvl w:ilvl="7">
      <w:start w:val="0"/>
      <w:numFmt w:val="bullet"/>
      <w:lvlText w:val="•"/>
      <w:lvlJc w:val="left"/>
      <w:pPr>
        <w:ind w:left="6855" w:hanging="221"/>
      </w:pPr>
      <w:rPr>
        <w:rFonts w:hint="default"/>
        <w:lang w:val="es-ES" w:eastAsia="en-US" w:bidi="ar-SA"/>
      </w:rPr>
    </w:lvl>
    <w:lvl w:ilvl="8">
      <w:start w:val="0"/>
      <w:numFmt w:val="bullet"/>
      <w:lvlText w:val="•"/>
      <w:lvlJc w:val="left"/>
      <w:pPr>
        <w:ind w:left="7785" w:hanging="221"/>
      </w:pPr>
      <w:rPr>
        <w:rFonts w:hint="default"/>
        <w:lang w:val="es-ES" w:eastAsia="en-US" w:bidi="ar-SA"/>
      </w:rPr>
    </w:lvl>
  </w:abstractNum>
  <w:abstractNum w:abstractNumId="1">
    <w:multiLevelType w:val="hybridMultilevel"/>
    <w:lvl w:ilvl="0">
      <w:start w:val="1"/>
      <w:numFmt w:val="upperRoman"/>
      <w:lvlText w:val="%1."/>
      <w:lvlJc w:val="left"/>
      <w:pPr>
        <w:ind w:left="284" w:hanging="16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0">
    <w:multiLevelType w:val="hybridMultilevel"/>
    <w:lvl w:ilvl="0">
      <w:start w:val="1"/>
      <w:numFmt w:val="upperRoman"/>
      <w:lvlText w:val="%1."/>
      <w:lvlJc w:val="left"/>
      <w:pPr>
        <w:ind w:left="118" w:hanging="178"/>
        <w:jc w:val="left"/>
      </w:pPr>
      <w:rPr>
        <w:rFonts w:hint="default" w:ascii="Arial MT" w:hAnsi="Arial MT" w:eastAsia="Arial MT" w:cs="Arial MT"/>
        <w:b w:val="0"/>
        <w:bCs w:val="0"/>
        <w:i w:val="0"/>
        <w:iCs w:val="0"/>
        <w:spacing w:val="-1"/>
        <w:w w:val="88"/>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5" w:hanging="178"/>
      </w:pPr>
      <w:rPr>
        <w:rFonts w:hint="default"/>
        <w:lang w:val="es-ES" w:eastAsia="en-US" w:bidi="ar-SA"/>
      </w:rPr>
    </w:lvl>
    <w:lvl w:ilvl="3">
      <w:start w:val="0"/>
      <w:numFmt w:val="bullet"/>
      <w:lvlText w:val="•"/>
      <w:lvlJc w:val="left"/>
      <w:pPr>
        <w:ind w:left="2978" w:hanging="178"/>
      </w:pPr>
      <w:rPr>
        <w:rFonts w:hint="default"/>
        <w:lang w:val="es-ES" w:eastAsia="en-US" w:bidi="ar-SA"/>
      </w:rPr>
    </w:lvl>
    <w:lvl w:ilvl="4">
      <w:start w:val="0"/>
      <w:numFmt w:val="bullet"/>
      <w:lvlText w:val="•"/>
      <w:lvlJc w:val="left"/>
      <w:pPr>
        <w:ind w:left="3930" w:hanging="178"/>
      </w:pPr>
      <w:rPr>
        <w:rFonts w:hint="default"/>
        <w:lang w:val="es-ES" w:eastAsia="en-US" w:bidi="ar-SA"/>
      </w:rPr>
    </w:lvl>
    <w:lvl w:ilvl="5">
      <w:start w:val="0"/>
      <w:numFmt w:val="bullet"/>
      <w:lvlText w:val="•"/>
      <w:lvlJc w:val="left"/>
      <w:pPr>
        <w:ind w:left="4883" w:hanging="178"/>
      </w:pPr>
      <w:rPr>
        <w:rFonts w:hint="default"/>
        <w:lang w:val="es-ES" w:eastAsia="en-US" w:bidi="ar-SA"/>
      </w:rPr>
    </w:lvl>
    <w:lvl w:ilvl="6">
      <w:start w:val="0"/>
      <w:numFmt w:val="bullet"/>
      <w:lvlText w:val="•"/>
      <w:lvlJc w:val="left"/>
      <w:pPr>
        <w:ind w:left="5836" w:hanging="178"/>
      </w:pPr>
      <w:rPr>
        <w:rFonts w:hint="default"/>
        <w:lang w:val="es-ES" w:eastAsia="en-US" w:bidi="ar-SA"/>
      </w:rPr>
    </w:lvl>
    <w:lvl w:ilvl="7">
      <w:start w:val="0"/>
      <w:numFmt w:val="bullet"/>
      <w:lvlText w:val="•"/>
      <w:lvlJc w:val="left"/>
      <w:pPr>
        <w:ind w:left="6789" w:hanging="178"/>
      </w:pPr>
      <w:rPr>
        <w:rFonts w:hint="default"/>
        <w:lang w:val="es-ES" w:eastAsia="en-US" w:bidi="ar-SA"/>
      </w:rPr>
    </w:lvl>
    <w:lvl w:ilvl="8">
      <w:start w:val="0"/>
      <w:numFmt w:val="bullet"/>
      <w:lvlText w:val="•"/>
      <w:lvlJc w:val="left"/>
      <w:pPr>
        <w:ind w:left="7741" w:hanging="178"/>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1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2024-01-22T22:02:40Z</dcterms:created>
  <dcterms:modified xsi:type="dcterms:W3CDTF">2024-01-22T22:02:40Z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Microsoft® Word 2016</vt:lpwstr>
  </property>
</Properties>
</file>